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70" w:type="dxa"/>
          <w:right w:w="70" w:type="dxa"/>
        </w:tblCellMar>
        <w:tblLook w:val="0000" w:firstRow="0" w:lastRow="0" w:firstColumn="0" w:lastColumn="0" w:noHBand="0" w:noVBand="0"/>
      </w:tblPr>
      <w:tblGrid>
        <w:gridCol w:w="5150"/>
        <w:gridCol w:w="4627"/>
      </w:tblGrid>
      <w:tr w:rsidR="00936E15" w:rsidRPr="00D618A0" w:rsidTr="00936E15">
        <w:trPr>
          <w:trHeight w:val="7222"/>
        </w:trPr>
        <w:tc>
          <w:tcPr>
            <w:tcW w:w="5150" w:type="dxa"/>
          </w:tcPr>
          <w:p w:rsidR="00936E15" w:rsidRPr="00D618A0" w:rsidRDefault="00936E15" w:rsidP="00054A2A">
            <w:pPr>
              <w:pStyle w:val="Datum"/>
            </w:pPr>
            <w:r>
              <w:rPr>
                <w:noProof/>
              </w:rPr>
              <w:drawing>
                <wp:anchor distT="152400" distB="152400" distL="152400" distR="152400" simplePos="0" relativeHeight="251658240" behindDoc="0" locked="0" layoutInCell="1" allowOverlap="1">
                  <wp:simplePos x="0" y="0"/>
                  <wp:positionH relativeFrom="page">
                    <wp:posOffset>5715</wp:posOffset>
                  </wp:positionH>
                  <wp:positionV relativeFrom="page">
                    <wp:posOffset>165100</wp:posOffset>
                  </wp:positionV>
                  <wp:extent cx="3162300" cy="3629025"/>
                  <wp:effectExtent l="19050" t="0" r="0" b="0"/>
                  <wp:wrapThrough wrapText="bothSides">
                    <wp:wrapPolygon edited="0">
                      <wp:start x="-130" y="0"/>
                      <wp:lineTo x="-130" y="21543"/>
                      <wp:lineTo x="21600" y="21543"/>
                      <wp:lineTo x="21600" y="0"/>
                      <wp:lineTo x="-130" y="0"/>
                    </wp:wrapPolygon>
                  </wp:wrapThrough>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9" cstate="print"/>
                          <a:srcRect/>
                          <a:stretch>
                            <a:fillRect/>
                          </a:stretch>
                        </pic:blipFill>
                        <pic:spPr bwMode="auto">
                          <a:xfrm>
                            <a:off x="0" y="0"/>
                            <a:ext cx="3162300" cy="3629025"/>
                          </a:xfrm>
                          <a:prstGeom prst="rect">
                            <a:avLst/>
                          </a:prstGeom>
                          <a:noFill/>
                          <a:ln w="12700">
                            <a:noFill/>
                            <a:miter lim="800000"/>
                            <a:headEnd/>
                            <a:tailEnd/>
                          </a:ln>
                        </pic:spPr>
                      </pic:pic>
                    </a:graphicData>
                  </a:graphic>
                </wp:anchor>
              </w:drawing>
            </w:r>
          </w:p>
        </w:tc>
        <w:tc>
          <w:tcPr>
            <w:tcW w:w="4627" w:type="dxa"/>
          </w:tcPr>
          <w:p w:rsidR="00936E15" w:rsidRDefault="00936E15" w:rsidP="00936E15">
            <w:pPr>
              <w:jc w:val="right"/>
              <w:rPr>
                <w:b/>
                <w:bCs/>
                <w:sz w:val="56"/>
                <w:szCs w:val="56"/>
              </w:rPr>
            </w:pPr>
          </w:p>
          <w:p w:rsidR="00936E15" w:rsidRDefault="00936E15" w:rsidP="00936E15">
            <w:pPr>
              <w:jc w:val="right"/>
              <w:rPr>
                <w:b/>
                <w:bCs/>
                <w:sz w:val="56"/>
                <w:szCs w:val="56"/>
              </w:rPr>
            </w:pPr>
          </w:p>
          <w:p w:rsidR="00936E15" w:rsidRPr="00936E15" w:rsidRDefault="00936E15" w:rsidP="00936E15">
            <w:pPr>
              <w:jc w:val="right"/>
              <w:rPr>
                <w:b/>
                <w:bCs/>
                <w:sz w:val="56"/>
                <w:szCs w:val="56"/>
              </w:rPr>
            </w:pPr>
            <w:r w:rsidRPr="00936E15">
              <w:rPr>
                <w:b/>
                <w:bCs/>
                <w:sz w:val="56"/>
                <w:szCs w:val="56"/>
              </w:rPr>
              <w:t>MZDY</w:t>
            </w:r>
          </w:p>
          <w:p w:rsidR="00936E15" w:rsidRPr="00936E15" w:rsidRDefault="00936E15" w:rsidP="00936E15">
            <w:pPr>
              <w:jc w:val="right"/>
              <w:rPr>
                <w:b/>
                <w:bCs/>
                <w:sz w:val="56"/>
                <w:szCs w:val="56"/>
              </w:rPr>
            </w:pPr>
            <w:r w:rsidRPr="00936E15">
              <w:rPr>
                <w:b/>
                <w:bCs/>
                <w:sz w:val="56"/>
                <w:szCs w:val="56"/>
              </w:rPr>
              <w:t xml:space="preserve"> LEGISLATIVA </w:t>
            </w:r>
          </w:p>
          <w:p w:rsidR="00936E15" w:rsidRDefault="006E6C0E" w:rsidP="00936E15">
            <w:pPr>
              <w:jc w:val="right"/>
              <w:rPr>
                <w:b/>
                <w:bCs/>
                <w:sz w:val="40"/>
              </w:rPr>
            </w:pPr>
            <w:r>
              <w:rPr>
                <w:b/>
                <w:bCs/>
                <w:sz w:val="56"/>
                <w:szCs w:val="56"/>
              </w:rPr>
              <w:t>201</w:t>
            </w:r>
            <w:r w:rsidR="00C345B2">
              <w:rPr>
                <w:b/>
                <w:bCs/>
                <w:sz w:val="56"/>
                <w:szCs w:val="56"/>
              </w:rPr>
              <w:t>4</w:t>
            </w:r>
          </w:p>
          <w:p w:rsidR="00936E15" w:rsidRDefault="00936E15" w:rsidP="00936E15">
            <w:pPr>
              <w:jc w:val="right"/>
              <w:rPr>
                <w:b/>
                <w:bCs/>
                <w:sz w:val="40"/>
              </w:rPr>
            </w:pPr>
          </w:p>
          <w:p w:rsidR="00936E15" w:rsidRPr="00D618A0" w:rsidRDefault="00936E15" w:rsidP="00936E15">
            <w:pPr>
              <w:jc w:val="right"/>
              <w:rPr>
                <w:b/>
                <w:caps/>
                <w:sz w:val="24"/>
              </w:rPr>
            </w:pPr>
            <w:r w:rsidRPr="00D618A0">
              <w:rPr>
                <w:b/>
                <w:caps/>
                <w:sz w:val="24"/>
              </w:rPr>
              <w:t>Podklady pro školení</w:t>
            </w:r>
            <w:r>
              <w:rPr>
                <w:b/>
                <w:caps/>
                <w:sz w:val="24"/>
              </w:rPr>
              <w:t xml:space="preserve"> legislativních změn v roce </w:t>
            </w:r>
            <w:r w:rsidR="00C345B2">
              <w:rPr>
                <w:b/>
                <w:caps/>
                <w:sz w:val="24"/>
              </w:rPr>
              <w:t>2014</w:t>
            </w:r>
          </w:p>
          <w:p w:rsidR="00936E15" w:rsidRPr="00D618A0" w:rsidRDefault="00936E15" w:rsidP="00975BD8">
            <w:pPr>
              <w:jc w:val="center"/>
              <w:rPr>
                <w:sz w:val="40"/>
              </w:rPr>
            </w:pPr>
          </w:p>
        </w:tc>
      </w:tr>
      <w:tr w:rsidR="00936E15" w:rsidRPr="00D618A0" w:rsidTr="00936E15">
        <w:trPr>
          <w:trHeight w:val="2203"/>
        </w:trPr>
        <w:tc>
          <w:tcPr>
            <w:tcW w:w="9777" w:type="dxa"/>
            <w:gridSpan w:val="2"/>
            <w:vAlign w:val="center"/>
          </w:tcPr>
          <w:p w:rsidR="00936E15" w:rsidRPr="00D618A0" w:rsidRDefault="00936E15" w:rsidP="00054A2A">
            <w:pPr>
              <w:jc w:val="center"/>
            </w:pPr>
            <w:r w:rsidRPr="00D618A0">
              <w:t xml:space="preserve">Školitel: </w:t>
            </w:r>
            <w:r>
              <w:rPr>
                <w:b/>
                <w:caps/>
                <w:szCs w:val="20"/>
              </w:rPr>
              <w:t>Ing. Jan Sejpka</w:t>
            </w:r>
            <w:r w:rsidRPr="00D618A0">
              <w:t xml:space="preserve">, </w:t>
            </w:r>
            <w:r>
              <w:t>analytik Helios Orange</w:t>
            </w:r>
          </w:p>
          <w:p w:rsidR="00936E15" w:rsidRPr="00D618A0" w:rsidRDefault="00936E15" w:rsidP="00054A2A">
            <w:pPr>
              <w:jc w:val="center"/>
            </w:pPr>
          </w:p>
          <w:p w:rsidR="00936E15" w:rsidRPr="00D618A0" w:rsidRDefault="00EE7059" w:rsidP="00054A2A">
            <w:pPr>
              <w:jc w:val="center"/>
              <w:rPr>
                <w:lang w:val="de-DE"/>
              </w:rPr>
            </w:pPr>
            <w:hyperlink r:id="rId10" w:history="1">
              <w:r w:rsidR="00936E15" w:rsidRPr="00C4049A">
                <w:rPr>
                  <w:rStyle w:val="Hypertextovodkaz"/>
                  <w:rFonts w:ascii="Arial" w:hAnsi="Arial"/>
                </w:rPr>
                <w:t>jan</w:t>
              </w:r>
              <w:r w:rsidR="00936E15" w:rsidRPr="00C4049A">
                <w:rPr>
                  <w:rStyle w:val="Hypertextovodkaz"/>
                </w:rPr>
                <w:t>.sejpka</w:t>
              </w:r>
              <w:r w:rsidR="00936E15" w:rsidRPr="00C4049A">
                <w:rPr>
                  <w:rStyle w:val="Hypertextovodkaz"/>
                  <w:lang w:val="de-DE"/>
                </w:rPr>
                <w:t>@helios.eu</w:t>
              </w:r>
            </w:hyperlink>
          </w:p>
          <w:p w:rsidR="00936E15" w:rsidRPr="00D618A0" w:rsidRDefault="00936E15" w:rsidP="00054A2A">
            <w:pPr>
              <w:jc w:val="center"/>
            </w:pPr>
          </w:p>
        </w:tc>
      </w:tr>
      <w:tr w:rsidR="00936E15" w:rsidRPr="00D618A0" w:rsidTr="00936E15">
        <w:tc>
          <w:tcPr>
            <w:tcW w:w="9777" w:type="dxa"/>
            <w:gridSpan w:val="2"/>
          </w:tcPr>
          <w:p w:rsidR="00936E15" w:rsidRPr="00D618A0" w:rsidRDefault="00936E15" w:rsidP="00054A2A">
            <w:pPr>
              <w:jc w:val="center"/>
            </w:pPr>
            <w:r>
              <w:t xml:space="preserve">© </w:t>
            </w:r>
            <w:r w:rsidR="006E6C0E">
              <w:t>201</w:t>
            </w:r>
            <w:r w:rsidR="00C345B2">
              <w:t>4</w:t>
            </w:r>
            <w:r w:rsidRPr="00D618A0">
              <w:t xml:space="preserve"> </w:t>
            </w:r>
            <w:r>
              <w:t>Asseco Solutions,</w:t>
            </w:r>
            <w:r w:rsidRPr="00D618A0">
              <w:t xml:space="preserve">a.s. </w:t>
            </w:r>
          </w:p>
          <w:p w:rsidR="00936E15" w:rsidRPr="00D618A0" w:rsidRDefault="00936E15" w:rsidP="00054A2A">
            <w:pPr>
              <w:jc w:val="center"/>
            </w:pPr>
            <w:r>
              <w:t xml:space="preserve">V Praze dne </w:t>
            </w:r>
            <w:r w:rsidR="00732C6C">
              <w:t>15</w:t>
            </w:r>
            <w:r>
              <w:t xml:space="preserve">. 1. </w:t>
            </w:r>
            <w:r w:rsidR="00C345B2">
              <w:t>2014</w:t>
            </w:r>
          </w:p>
          <w:p w:rsidR="00936E15" w:rsidRPr="00D618A0" w:rsidRDefault="00936E15" w:rsidP="00054A2A">
            <w:pPr>
              <w:jc w:val="center"/>
            </w:pPr>
          </w:p>
        </w:tc>
      </w:tr>
    </w:tbl>
    <w:p w:rsidR="0074246D" w:rsidRPr="00D618A0" w:rsidRDefault="0074246D" w:rsidP="0074246D"/>
    <w:p w:rsidR="0074246D" w:rsidRPr="00D618A0" w:rsidRDefault="0074246D" w:rsidP="0074246D"/>
    <w:p w:rsidR="0074246D" w:rsidRDefault="0074246D" w:rsidP="0074246D">
      <w:pPr>
        <w:rPr>
          <w:szCs w:val="20"/>
        </w:rPr>
      </w:pPr>
      <w:r w:rsidRPr="00D618A0">
        <w:br w:type="page"/>
      </w:r>
      <w:r w:rsidRPr="00D618A0">
        <w:rPr>
          <w:b/>
          <w:szCs w:val="20"/>
        </w:rPr>
        <w:lastRenderedPageBreak/>
        <w:t>OBSAH</w:t>
      </w:r>
      <w:r w:rsidRPr="00D618A0">
        <w:rPr>
          <w:szCs w:val="20"/>
        </w:rPr>
        <w:t>:</w:t>
      </w:r>
      <w:bookmarkStart w:id="0" w:name="_Toc187638168"/>
      <w:bookmarkStart w:id="1" w:name="_Toc186995120"/>
    </w:p>
    <w:p w:rsidR="00C54939" w:rsidRDefault="00F17911">
      <w:pPr>
        <w:pStyle w:val="Obsah1"/>
        <w:tabs>
          <w:tab w:val="left" w:pos="400"/>
          <w:tab w:val="right" w:leader="dot" w:pos="9627"/>
        </w:tabs>
        <w:rPr>
          <w:rFonts w:asciiTheme="minorHAnsi" w:eastAsiaTheme="minorEastAsia" w:hAnsiTheme="minorHAnsi" w:cstheme="minorBidi"/>
          <w:noProof/>
          <w:sz w:val="22"/>
          <w:szCs w:val="22"/>
        </w:rPr>
      </w:pPr>
      <w:r>
        <w:fldChar w:fldCharType="begin"/>
      </w:r>
      <w:r w:rsidR="0074246D">
        <w:instrText xml:space="preserve"> TOC \o "1-3" \h \z \u </w:instrText>
      </w:r>
      <w:r>
        <w:fldChar w:fldCharType="separate"/>
      </w:r>
      <w:hyperlink w:anchor="_Toc376422228" w:history="1">
        <w:r w:rsidR="00C54939" w:rsidRPr="005C167B">
          <w:rPr>
            <w:rStyle w:val="Hypertextovodkaz"/>
            <w:noProof/>
          </w:rPr>
          <w:t>1</w:t>
        </w:r>
        <w:r w:rsidR="00C54939">
          <w:rPr>
            <w:rFonts w:asciiTheme="minorHAnsi" w:eastAsiaTheme="minorEastAsia" w:hAnsiTheme="minorHAnsi" w:cstheme="minorBidi"/>
            <w:noProof/>
            <w:sz w:val="22"/>
            <w:szCs w:val="22"/>
          </w:rPr>
          <w:tab/>
        </w:r>
        <w:r w:rsidR="00C54939" w:rsidRPr="005C167B">
          <w:rPr>
            <w:rStyle w:val="Hypertextovodkaz"/>
            <w:noProof/>
          </w:rPr>
          <w:t>Přechod na rok 2014</w:t>
        </w:r>
        <w:r w:rsidR="00C54939">
          <w:rPr>
            <w:noProof/>
            <w:webHidden/>
          </w:rPr>
          <w:tab/>
        </w:r>
        <w:r w:rsidR="00C54939">
          <w:rPr>
            <w:noProof/>
            <w:webHidden/>
          </w:rPr>
          <w:fldChar w:fldCharType="begin"/>
        </w:r>
        <w:r w:rsidR="00C54939">
          <w:rPr>
            <w:noProof/>
            <w:webHidden/>
          </w:rPr>
          <w:instrText xml:space="preserve"> PAGEREF _Toc376422228 \h </w:instrText>
        </w:r>
        <w:r w:rsidR="00C54939">
          <w:rPr>
            <w:noProof/>
            <w:webHidden/>
          </w:rPr>
        </w:r>
        <w:r w:rsidR="00C54939">
          <w:rPr>
            <w:noProof/>
            <w:webHidden/>
          </w:rPr>
          <w:fldChar w:fldCharType="separate"/>
        </w:r>
        <w:r w:rsidR="00C54939">
          <w:rPr>
            <w:noProof/>
            <w:webHidden/>
          </w:rPr>
          <w:t>5</w:t>
        </w:r>
        <w:r w:rsidR="00C54939">
          <w:rPr>
            <w:noProof/>
            <w:webHidden/>
          </w:rPr>
          <w:fldChar w:fldCharType="end"/>
        </w:r>
      </w:hyperlink>
    </w:p>
    <w:p w:rsidR="00C54939" w:rsidRDefault="00EE7059">
      <w:pPr>
        <w:pStyle w:val="Obsah2"/>
        <w:tabs>
          <w:tab w:val="left" w:pos="800"/>
          <w:tab w:val="right" w:leader="dot" w:pos="9627"/>
        </w:tabs>
        <w:rPr>
          <w:rFonts w:asciiTheme="minorHAnsi" w:eastAsiaTheme="minorEastAsia" w:hAnsiTheme="minorHAnsi" w:cstheme="minorBidi"/>
          <w:noProof/>
          <w:sz w:val="22"/>
          <w:szCs w:val="22"/>
        </w:rPr>
      </w:pPr>
      <w:hyperlink w:anchor="_Toc376422229" w:history="1">
        <w:r w:rsidR="00C54939" w:rsidRPr="005C167B">
          <w:rPr>
            <w:rStyle w:val="Hypertextovodkaz"/>
            <w:noProof/>
          </w:rPr>
          <w:t>1.1</w:t>
        </w:r>
        <w:r w:rsidR="00C54939">
          <w:rPr>
            <w:rFonts w:asciiTheme="minorHAnsi" w:eastAsiaTheme="minorEastAsia" w:hAnsiTheme="minorHAnsi" w:cstheme="minorBidi"/>
            <w:noProof/>
            <w:sz w:val="22"/>
            <w:szCs w:val="22"/>
          </w:rPr>
          <w:tab/>
        </w:r>
        <w:r w:rsidR="00C54939" w:rsidRPr="005C167B">
          <w:rPr>
            <w:rStyle w:val="Hypertextovodkaz"/>
            <w:noProof/>
          </w:rPr>
          <w:t>Verze</w:t>
        </w:r>
        <w:r w:rsidR="00C54939">
          <w:rPr>
            <w:noProof/>
            <w:webHidden/>
          </w:rPr>
          <w:tab/>
        </w:r>
        <w:r w:rsidR="00C54939">
          <w:rPr>
            <w:noProof/>
            <w:webHidden/>
          </w:rPr>
          <w:fldChar w:fldCharType="begin"/>
        </w:r>
        <w:r w:rsidR="00C54939">
          <w:rPr>
            <w:noProof/>
            <w:webHidden/>
          </w:rPr>
          <w:instrText xml:space="preserve"> PAGEREF _Toc376422229 \h </w:instrText>
        </w:r>
        <w:r w:rsidR="00C54939">
          <w:rPr>
            <w:noProof/>
            <w:webHidden/>
          </w:rPr>
        </w:r>
        <w:r w:rsidR="00C54939">
          <w:rPr>
            <w:noProof/>
            <w:webHidden/>
          </w:rPr>
          <w:fldChar w:fldCharType="separate"/>
        </w:r>
        <w:r w:rsidR="00C54939">
          <w:rPr>
            <w:noProof/>
            <w:webHidden/>
          </w:rPr>
          <w:t>5</w:t>
        </w:r>
        <w:r w:rsidR="00C54939">
          <w:rPr>
            <w:noProof/>
            <w:webHidden/>
          </w:rPr>
          <w:fldChar w:fldCharType="end"/>
        </w:r>
      </w:hyperlink>
    </w:p>
    <w:p w:rsidR="00C54939" w:rsidRDefault="00EE7059">
      <w:pPr>
        <w:pStyle w:val="Obsah2"/>
        <w:tabs>
          <w:tab w:val="left" w:pos="800"/>
          <w:tab w:val="right" w:leader="dot" w:pos="9627"/>
        </w:tabs>
        <w:rPr>
          <w:rFonts w:asciiTheme="minorHAnsi" w:eastAsiaTheme="minorEastAsia" w:hAnsiTheme="minorHAnsi" w:cstheme="minorBidi"/>
          <w:noProof/>
          <w:sz w:val="22"/>
          <w:szCs w:val="22"/>
        </w:rPr>
      </w:pPr>
      <w:hyperlink w:anchor="_Toc376422230" w:history="1">
        <w:r w:rsidR="00C54939" w:rsidRPr="005C167B">
          <w:rPr>
            <w:rStyle w:val="Hypertextovodkaz"/>
            <w:noProof/>
          </w:rPr>
          <w:t>1.2</w:t>
        </w:r>
        <w:r w:rsidR="00C54939">
          <w:rPr>
            <w:rFonts w:asciiTheme="minorHAnsi" w:eastAsiaTheme="minorEastAsia" w:hAnsiTheme="minorHAnsi" w:cstheme="minorBidi"/>
            <w:noProof/>
            <w:sz w:val="22"/>
            <w:szCs w:val="22"/>
          </w:rPr>
          <w:tab/>
        </w:r>
        <w:r w:rsidR="00C54939" w:rsidRPr="005C167B">
          <w:rPr>
            <w:rStyle w:val="Hypertextovodkaz"/>
            <w:noProof/>
          </w:rPr>
          <w:t>Kontrola údajů před uzávěrkou prosince 2013</w:t>
        </w:r>
        <w:r w:rsidR="00C54939">
          <w:rPr>
            <w:noProof/>
            <w:webHidden/>
          </w:rPr>
          <w:tab/>
        </w:r>
        <w:r w:rsidR="00C54939">
          <w:rPr>
            <w:noProof/>
            <w:webHidden/>
          </w:rPr>
          <w:fldChar w:fldCharType="begin"/>
        </w:r>
        <w:r w:rsidR="00C54939">
          <w:rPr>
            <w:noProof/>
            <w:webHidden/>
          </w:rPr>
          <w:instrText xml:space="preserve"> PAGEREF _Toc376422230 \h </w:instrText>
        </w:r>
        <w:r w:rsidR="00C54939">
          <w:rPr>
            <w:noProof/>
            <w:webHidden/>
          </w:rPr>
        </w:r>
        <w:r w:rsidR="00C54939">
          <w:rPr>
            <w:noProof/>
            <w:webHidden/>
          </w:rPr>
          <w:fldChar w:fldCharType="separate"/>
        </w:r>
        <w:r w:rsidR="00C54939">
          <w:rPr>
            <w:noProof/>
            <w:webHidden/>
          </w:rPr>
          <w:t>5</w:t>
        </w:r>
        <w:r w:rsidR="00C54939">
          <w:rPr>
            <w:noProof/>
            <w:webHidden/>
          </w:rPr>
          <w:fldChar w:fldCharType="end"/>
        </w:r>
      </w:hyperlink>
    </w:p>
    <w:p w:rsidR="00C54939" w:rsidRDefault="00EE7059">
      <w:pPr>
        <w:pStyle w:val="Obsah2"/>
        <w:tabs>
          <w:tab w:val="left" w:pos="800"/>
          <w:tab w:val="right" w:leader="dot" w:pos="9627"/>
        </w:tabs>
        <w:rPr>
          <w:rFonts w:asciiTheme="minorHAnsi" w:eastAsiaTheme="minorEastAsia" w:hAnsiTheme="minorHAnsi" w:cstheme="minorBidi"/>
          <w:noProof/>
          <w:sz w:val="22"/>
          <w:szCs w:val="22"/>
        </w:rPr>
      </w:pPr>
      <w:hyperlink w:anchor="_Toc376422231" w:history="1">
        <w:r w:rsidR="00C54939" w:rsidRPr="005C167B">
          <w:rPr>
            <w:rStyle w:val="Hypertextovodkaz"/>
            <w:noProof/>
          </w:rPr>
          <w:t>1.3</w:t>
        </w:r>
        <w:r w:rsidR="00C54939">
          <w:rPr>
            <w:rFonts w:asciiTheme="minorHAnsi" w:eastAsiaTheme="minorEastAsia" w:hAnsiTheme="minorHAnsi" w:cstheme="minorBidi"/>
            <w:noProof/>
            <w:sz w:val="22"/>
            <w:szCs w:val="22"/>
          </w:rPr>
          <w:tab/>
        </w:r>
        <w:r w:rsidR="00C54939" w:rsidRPr="005C167B">
          <w:rPr>
            <w:rStyle w:val="Hypertextovodkaz"/>
            <w:noProof/>
          </w:rPr>
          <w:t>Roční uzávěrka</w:t>
        </w:r>
        <w:r w:rsidR="00C54939">
          <w:rPr>
            <w:noProof/>
            <w:webHidden/>
          </w:rPr>
          <w:tab/>
        </w:r>
        <w:r w:rsidR="00C54939">
          <w:rPr>
            <w:noProof/>
            <w:webHidden/>
          </w:rPr>
          <w:fldChar w:fldCharType="begin"/>
        </w:r>
        <w:r w:rsidR="00C54939">
          <w:rPr>
            <w:noProof/>
            <w:webHidden/>
          </w:rPr>
          <w:instrText xml:space="preserve"> PAGEREF _Toc376422231 \h </w:instrText>
        </w:r>
        <w:r w:rsidR="00C54939">
          <w:rPr>
            <w:noProof/>
            <w:webHidden/>
          </w:rPr>
        </w:r>
        <w:r w:rsidR="00C54939">
          <w:rPr>
            <w:noProof/>
            <w:webHidden/>
          </w:rPr>
          <w:fldChar w:fldCharType="separate"/>
        </w:r>
        <w:r w:rsidR="00C54939">
          <w:rPr>
            <w:noProof/>
            <w:webHidden/>
          </w:rPr>
          <w:t>8</w:t>
        </w:r>
        <w:r w:rsidR="00C54939">
          <w:rPr>
            <w:noProof/>
            <w:webHidden/>
          </w:rPr>
          <w:fldChar w:fldCharType="end"/>
        </w:r>
      </w:hyperlink>
    </w:p>
    <w:p w:rsidR="00C54939" w:rsidRDefault="00EE7059">
      <w:pPr>
        <w:pStyle w:val="Obsah2"/>
        <w:tabs>
          <w:tab w:val="left" w:pos="800"/>
          <w:tab w:val="right" w:leader="dot" w:pos="9627"/>
        </w:tabs>
        <w:rPr>
          <w:rFonts w:asciiTheme="minorHAnsi" w:eastAsiaTheme="minorEastAsia" w:hAnsiTheme="minorHAnsi" w:cstheme="minorBidi"/>
          <w:noProof/>
          <w:sz w:val="22"/>
          <w:szCs w:val="22"/>
        </w:rPr>
      </w:pPr>
      <w:hyperlink w:anchor="_Toc376422232" w:history="1">
        <w:r w:rsidR="00C54939" w:rsidRPr="005C167B">
          <w:rPr>
            <w:rStyle w:val="Hypertextovodkaz"/>
            <w:noProof/>
          </w:rPr>
          <w:t>1.4</w:t>
        </w:r>
        <w:r w:rsidR="00C54939">
          <w:rPr>
            <w:rFonts w:asciiTheme="minorHAnsi" w:eastAsiaTheme="minorEastAsia" w:hAnsiTheme="minorHAnsi" w:cstheme="minorBidi"/>
            <w:noProof/>
            <w:sz w:val="22"/>
            <w:szCs w:val="22"/>
          </w:rPr>
          <w:tab/>
        </w:r>
        <w:r w:rsidR="00C54939" w:rsidRPr="005C167B">
          <w:rPr>
            <w:rStyle w:val="Hypertextovodkaz"/>
            <w:noProof/>
          </w:rPr>
          <w:t>Dovolená standard a nadstandard</w:t>
        </w:r>
        <w:r w:rsidR="00C54939">
          <w:rPr>
            <w:noProof/>
            <w:webHidden/>
          </w:rPr>
          <w:tab/>
        </w:r>
        <w:r w:rsidR="00C54939">
          <w:rPr>
            <w:noProof/>
            <w:webHidden/>
          </w:rPr>
          <w:fldChar w:fldCharType="begin"/>
        </w:r>
        <w:r w:rsidR="00C54939">
          <w:rPr>
            <w:noProof/>
            <w:webHidden/>
          </w:rPr>
          <w:instrText xml:space="preserve"> PAGEREF _Toc376422232 \h </w:instrText>
        </w:r>
        <w:r w:rsidR="00C54939">
          <w:rPr>
            <w:noProof/>
            <w:webHidden/>
          </w:rPr>
        </w:r>
        <w:r w:rsidR="00C54939">
          <w:rPr>
            <w:noProof/>
            <w:webHidden/>
          </w:rPr>
          <w:fldChar w:fldCharType="separate"/>
        </w:r>
        <w:r w:rsidR="00C54939">
          <w:rPr>
            <w:noProof/>
            <w:webHidden/>
          </w:rPr>
          <w:t>9</w:t>
        </w:r>
        <w:r w:rsidR="00C54939">
          <w:rPr>
            <w:noProof/>
            <w:webHidden/>
          </w:rPr>
          <w:fldChar w:fldCharType="end"/>
        </w:r>
      </w:hyperlink>
    </w:p>
    <w:p w:rsidR="00C54939" w:rsidRDefault="00EE7059">
      <w:pPr>
        <w:pStyle w:val="Obsah2"/>
        <w:tabs>
          <w:tab w:val="left" w:pos="800"/>
          <w:tab w:val="right" w:leader="dot" w:pos="9627"/>
        </w:tabs>
        <w:rPr>
          <w:rFonts w:asciiTheme="minorHAnsi" w:eastAsiaTheme="minorEastAsia" w:hAnsiTheme="minorHAnsi" w:cstheme="minorBidi"/>
          <w:noProof/>
          <w:sz w:val="22"/>
          <w:szCs w:val="22"/>
        </w:rPr>
      </w:pPr>
      <w:hyperlink w:anchor="_Toc376422233" w:history="1">
        <w:r w:rsidR="00C54939" w:rsidRPr="005C167B">
          <w:rPr>
            <w:rStyle w:val="Hypertextovodkaz"/>
            <w:noProof/>
          </w:rPr>
          <w:t>1.5</w:t>
        </w:r>
        <w:r w:rsidR="00C54939">
          <w:rPr>
            <w:rFonts w:asciiTheme="minorHAnsi" w:eastAsiaTheme="minorEastAsia" w:hAnsiTheme="minorHAnsi" w:cstheme="minorBidi"/>
            <w:noProof/>
            <w:sz w:val="22"/>
            <w:szCs w:val="22"/>
          </w:rPr>
          <w:tab/>
        </w:r>
        <w:r w:rsidR="00C54939" w:rsidRPr="005C167B">
          <w:rPr>
            <w:rStyle w:val="Hypertextovodkaz"/>
            <w:noProof/>
          </w:rPr>
          <w:t>Mzdové konstanty</w:t>
        </w:r>
        <w:r w:rsidR="00C54939">
          <w:rPr>
            <w:noProof/>
            <w:webHidden/>
          </w:rPr>
          <w:tab/>
        </w:r>
        <w:r w:rsidR="00C54939">
          <w:rPr>
            <w:noProof/>
            <w:webHidden/>
          </w:rPr>
          <w:fldChar w:fldCharType="begin"/>
        </w:r>
        <w:r w:rsidR="00C54939">
          <w:rPr>
            <w:noProof/>
            <w:webHidden/>
          </w:rPr>
          <w:instrText xml:space="preserve"> PAGEREF _Toc376422233 \h </w:instrText>
        </w:r>
        <w:r w:rsidR="00C54939">
          <w:rPr>
            <w:noProof/>
            <w:webHidden/>
          </w:rPr>
        </w:r>
        <w:r w:rsidR="00C54939">
          <w:rPr>
            <w:noProof/>
            <w:webHidden/>
          </w:rPr>
          <w:fldChar w:fldCharType="separate"/>
        </w:r>
        <w:r w:rsidR="00C54939">
          <w:rPr>
            <w:noProof/>
            <w:webHidden/>
          </w:rPr>
          <w:t>9</w:t>
        </w:r>
        <w:r w:rsidR="00C54939">
          <w:rPr>
            <w:noProof/>
            <w:webHidden/>
          </w:rPr>
          <w:fldChar w:fldCharType="end"/>
        </w:r>
      </w:hyperlink>
    </w:p>
    <w:p w:rsidR="00C54939" w:rsidRDefault="00EE7059">
      <w:pPr>
        <w:pStyle w:val="Obsah2"/>
        <w:tabs>
          <w:tab w:val="left" w:pos="800"/>
          <w:tab w:val="right" w:leader="dot" w:pos="9627"/>
        </w:tabs>
        <w:rPr>
          <w:rFonts w:asciiTheme="minorHAnsi" w:eastAsiaTheme="minorEastAsia" w:hAnsiTheme="minorHAnsi" w:cstheme="minorBidi"/>
          <w:noProof/>
          <w:sz w:val="22"/>
          <w:szCs w:val="22"/>
        </w:rPr>
      </w:pPr>
      <w:hyperlink w:anchor="_Toc376422234" w:history="1">
        <w:r w:rsidR="00C54939" w:rsidRPr="005C167B">
          <w:rPr>
            <w:rStyle w:val="Hypertextovodkaz"/>
            <w:noProof/>
          </w:rPr>
          <w:t>1.6</w:t>
        </w:r>
        <w:r w:rsidR="00C54939">
          <w:rPr>
            <w:rFonts w:asciiTheme="minorHAnsi" w:eastAsiaTheme="minorEastAsia" w:hAnsiTheme="minorHAnsi" w:cstheme="minorBidi"/>
            <w:noProof/>
            <w:sz w:val="22"/>
            <w:szCs w:val="22"/>
          </w:rPr>
          <w:tab/>
        </w:r>
        <w:r w:rsidR="00C54939" w:rsidRPr="005C167B">
          <w:rPr>
            <w:rStyle w:val="Hypertextovodkaz"/>
            <w:noProof/>
          </w:rPr>
          <w:t>Výpočet v lednu 2014</w:t>
        </w:r>
        <w:r w:rsidR="00C54939">
          <w:rPr>
            <w:noProof/>
            <w:webHidden/>
          </w:rPr>
          <w:tab/>
        </w:r>
        <w:r w:rsidR="00C54939">
          <w:rPr>
            <w:noProof/>
            <w:webHidden/>
          </w:rPr>
          <w:fldChar w:fldCharType="begin"/>
        </w:r>
        <w:r w:rsidR="00C54939">
          <w:rPr>
            <w:noProof/>
            <w:webHidden/>
          </w:rPr>
          <w:instrText xml:space="preserve"> PAGEREF _Toc376422234 \h </w:instrText>
        </w:r>
        <w:r w:rsidR="00C54939">
          <w:rPr>
            <w:noProof/>
            <w:webHidden/>
          </w:rPr>
        </w:r>
        <w:r w:rsidR="00C54939">
          <w:rPr>
            <w:noProof/>
            <w:webHidden/>
          </w:rPr>
          <w:fldChar w:fldCharType="separate"/>
        </w:r>
        <w:r w:rsidR="00C54939">
          <w:rPr>
            <w:noProof/>
            <w:webHidden/>
          </w:rPr>
          <w:t>9</w:t>
        </w:r>
        <w:r w:rsidR="00C54939">
          <w:rPr>
            <w:noProof/>
            <w:webHidden/>
          </w:rPr>
          <w:fldChar w:fldCharType="end"/>
        </w:r>
      </w:hyperlink>
    </w:p>
    <w:p w:rsidR="00C54939" w:rsidRDefault="00EE7059">
      <w:pPr>
        <w:pStyle w:val="Obsah3"/>
        <w:tabs>
          <w:tab w:val="right" w:leader="dot" w:pos="9627"/>
        </w:tabs>
        <w:rPr>
          <w:rFonts w:asciiTheme="minorHAnsi" w:eastAsiaTheme="minorEastAsia" w:hAnsiTheme="minorHAnsi" w:cstheme="minorBidi"/>
          <w:noProof/>
          <w:sz w:val="22"/>
          <w:szCs w:val="22"/>
        </w:rPr>
      </w:pPr>
      <w:hyperlink w:anchor="_Toc376422235" w:history="1">
        <w:r w:rsidR="00C54939" w:rsidRPr="005C167B">
          <w:rPr>
            <w:rStyle w:val="Hypertextovodkaz"/>
            <w:noProof/>
          </w:rPr>
          <w:t>1.6.1. Mzdové kalendáře</w:t>
        </w:r>
        <w:r w:rsidR="00C54939">
          <w:rPr>
            <w:noProof/>
            <w:webHidden/>
          </w:rPr>
          <w:tab/>
        </w:r>
        <w:r w:rsidR="00C54939">
          <w:rPr>
            <w:noProof/>
            <w:webHidden/>
          </w:rPr>
          <w:fldChar w:fldCharType="begin"/>
        </w:r>
        <w:r w:rsidR="00C54939">
          <w:rPr>
            <w:noProof/>
            <w:webHidden/>
          </w:rPr>
          <w:instrText xml:space="preserve"> PAGEREF _Toc376422235 \h </w:instrText>
        </w:r>
        <w:r w:rsidR="00C54939">
          <w:rPr>
            <w:noProof/>
            <w:webHidden/>
          </w:rPr>
        </w:r>
        <w:r w:rsidR="00C54939">
          <w:rPr>
            <w:noProof/>
            <w:webHidden/>
          </w:rPr>
          <w:fldChar w:fldCharType="separate"/>
        </w:r>
        <w:r w:rsidR="00C54939">
          <w:rPr>
            <w:noProof/>
            <w:webHidden/>
          </w:rPr>
          <w:t>9</w:t>
        </w:r>
        <w:r w:rsidR="00C54939">
          <w:rPr>
            <w:noProof/>
            <w:webHidden/>
          </w:rPr>
          <w:fldChar w:fldCharType="end"/>
        </w:r>
      </w:hyperlink>
    </w:p>
    <w:p w:rsidR="00C54939" w:rsidRDefault="00EE7059">
      <w:pPr>
        <w:pStyle w:val="Obsah3"/>
        <w:tabs>
          <w:tab w:val="right" w:leader="dot" w:pos="9627"/>
        </w:tabs>
        <w:rPr>
          <w:rFonts w:asciiTheme="minorHAnsi" w:eastAsiaTheme="minorEastAsia" w:hAnsiTheme="minorHAnsi" w:cstheme="minorBidi"/>
          <w:noProof/>
          <w:sz w:val="22"/>
          <w:szCs w:val="22"/>
        </w:rPr>
      </w:pPr>
      <w:hyperlink w:anchor="_Toc376422236" w:history="1">
        <w:r w:rsidR="00C54939" w:rsidRPr="005C167B">
          <w:rPr>
            <w:rStyle w:val="Hypertextovodkaz"/>
            <w:noProof/>
          </w:rPr>
          <w:t>1.6.2. Hlášení související s novou legislativou</w:t>
        </w:r>
        <w:r w:rsidR="00C54939">
          <w:rPr>
            <w:noProof/>
            <w:webHidden/>
          </w:rPr>
          <w:tab/>
        </w:r>
        <w:r w:rsidR="00C54939">
          <w:rPr>
            <w:noProof/>
            <w:webHidden/>
          </w:rPr>
          <w:fldChar w:fldCharType="begin"/>
        </w:r>
        <w:r w:rsidR="00C54939">
          <w:rPr>
            <w:noProof/>
            <w:webHidden/>
          </w:rPr>
          <w:instrText xml:space="preserve"> PAGEREF _Toc376422236 \h </w:instrText>
        </w:r>
        <w:r w:rsidR="00C54939">
          <w:rPr>
            <w:noProof/>
            <w:webHidden/>
          </w:rPr>
        </w:r>
        <w:r w:rsidR="00C54939">
          <w:rPr>
            <w:noProof/>
            <w:webHidden/>
          </w:rPr>
          <w:fldChar w:fldCharType="separate"/>
        </w:r>
        <w:r w:rsidR="00C54939">
          <w:rPr>
            <w:noProof/>
            <w:webHidden/>
          </w:rPr>
          <w:t>11</w:t>
        </w:r>
        <w:r w:rsidR="00C54939">
          <w:rPr>
            <w:noProof/>
            <w:webHidden/>
          </w:rPr>
          <w:fldChar w:fldCharType="end"/>
        </w:r>
      </w:hyperlink>
    </w:p>
    <w:p w:rsidR="00C54939" w:rsidRDefault="00EE7059">
      <w:pPr>
        <w:pStyle w:val="Obsah1"/>
        <w:tabs>
          <w:tab w:val="left" w:pos="400"/>
          <w:tab w:val="right" w:leader="dot" w:pos="9627"/>
        </w:tabs>
        <w:rPr>
          <w:rFonts w:asciiTheme="minorHAnsi" w:eastAsiaTheme="minorEastAsia" w:hAnsiTheme="minorHAnsi" w:cstheme="minorBidi"/>
          <w:noProof/>
          <w:sz w:val="22"/>
          <w:szCs w:val="22"/>
        </w:rPr>
      </w:pPr>
      <w:hyperlink w:anchor="_Toc376422237" w:history="1">
        <w:r w:rsidR="00C54939" w:rsidRPr="005C167B">
          <w:rPr>
            <w:rStyle w:val="Hypertextovodkaz"/>
            <w:noProof/>
          </w:rPr>
          <w:t>2</w:t>
        </w:r>
        <w:r w:rsidR="00C54939">
          <w:rPr>
            <w:rFonts w:asciiTheme="minorHAnsi" w:eastAsiaTheme="minorEastAsia" w:hAnsiTheme="minorHAnsi" w:cstheme="minorBidi"/>
            <w:noProof/>
            <w:sz w:val="22"/>
            <w:szCs w:val="22"/>
          </w:rPr>
          <w:tab/>
        </w:r>
        <w:r w:rsidR="00C54939" w:rsidRPr="005C167B">
          <w:rPr>
            <w:rStyle w:val="Hypertextovodkaz"/>
            <w:noProof/>
          </w:rPr>
          <w:t>Sociální pojištění od roku 2014</w:t>
        </w:r>
        <w:r w:rsidR="00C54939">
          <w:rPr>
            <w:noProof/>
            <w:webHidden/>
          </w:rPr>
          <w:tab/>
        </w:r>
        <w:r w:rsidR="00C54939">
          <w:rPr>
            <w:noProof/>
            <w:webHidden/>
          </w:rPr>
          <w:fldChar w:fldCharType="begin"/>
        </w:r>
        <w:r w:rsidR="00C54939">
          <w:rPr>
            <w:noProof/>
            <w:webHidden/>
          </w:rPr>
          <w:instrText xml:space="preserve"> PAGEREF _Toc376422237 \h </w:instrText>
        </w:r>
        <w:r w:rsidR="00C54939">
          <w:rPr>
            <w:noProof/>
            <w:webHidden/>
          </w:rPr>
        </w:r>
        <w:r w:rsidR="00C54939">
          <w:rPr>
            <w:noProof/>
            <w:webHidden/>
          </w:rPr>
          <w:fldChar w:fldCharType="separate"/>
        </w:r>
        <w:r w:rsidR="00C54939">
          <w:rPr>
            <w:noProof/>
            <w:webHidden/>
          </w:rPr>
          <w:t>13</w:t>
        </w:r>
        <w:r w:rsidR="00C54939">
          <w:rPr>
            <w:noProof/>
            <w:webHidden/>
          </w:rPr>
          <w:fldChar w:fldCharType="end"/>
        </w:r>
      </w:hyperlink>
    </w:p>
    <w:p w:rsidR="00C54939" w:rsidRDefault="00EE7059">
      <w:pPr>
        <w:pStyle w:val="Obsah2"/>
        <w:tabs>
          <w:tab w:val="left" w:pos="800"/>
          <w:tab w:val="right" w:leader="dot" w:pos="9627"/>
        </w:tabs>
        <w:rPr>
          <w:rFonts w:asciiTheme="minorHAnsi" w:eastAsiaTheme="minorEastAsia" w:hAnsiTheme="minorHAnsi" w:cstheme="minorBidi"/>
          <w:noProof/>
          <w:sz w:val="22"/>
          <w:szCs w:val="22"/>
        </w:rPr>
      </w:pPr>
      <w:hyperlink w:anchor="_Toc376422238" w:history="1">
        <w:r w:rsidR="00C54939" w:rsidRPr="005C167B">
          <w:rPr>
            <w:rStyle w:val="Hypertextovodkaz"/>
            <w:noProof/>
          </w:rPr>
          <w:t>2.1</w:t>
        </w:r>
        <w:r w:rsidR="00C54939">
          <w:rPr>
            <w:rFonts w:asciiTheme="minorHAnsi" w:eastAsiaTheme="minorEastAsia" w:hAnsiTheme="minorHAnsi" w:cstheme="minorBidi"/>
            <w:noProof/>
            <w:sz w:val="22"/>
            <w:szCs w:val="22"/>
          </w:rPr>
          <w:tab/>
        </w:r>
        <w:r w:rsidR="00C54939" w:rsidRPr="005C167B">
          <w:rPr>
            <w:rStyle w:val="Hypertextovodkaz"/>
            <w:noProof/>
          </w:rPr>
          <w:t>Zaměstnání malého rozsahu</w:t>
        </w:r>
        <w:r w:rsidR="00C54939">
          <w:rPr>
            <w:noProof/>
            <w:webHidden/>
          </w:rPr>
          <w:tab/>
        </w:r>
        <w:r w:rsidR="00C54939">
          <w:rPr>
            <w:noProof/>
            <w:webHidden/>
          </w:rPr>
          <w:fldChar w:fldCharType="begin"/>
        </w:r>
        <w:r w:rsidR="00C54939">
          <w:rPr>
            <w:noProof/>
            <w:webHidden/>
          </w:rPr>
          <w:instrText xml:space="preserve"> PAGEREF _Toc376422238 \h </w:instrText>
        </w:r>
        <w:r w:rsidR="00C54939">
          <w:rPr>
            <w:noProof/>
            <w:webHidden/>
          </w:rPr>
        </w:r>
        <w:r w:rsidR="00C54939">
          <w:rPr>
            <w:noProof/>
            <w:webHidden/>
          </w:rPr>
          <w:fldChar w:fldCharType="separate"/>
        </w:r>
        <w:r w:rsidR="00C54939">
          <w:rPr>
            <w:noProof/>
            <w:webHidden/>
          </w:rPr>
          <w:t>13</w:t>
        </w:r>
        <w:r w:rsidR="00C54939">
          <w:rPr>
            <w:noProof/>
            <w:webHidden/>
          </w:rPr>
          <w:fldChar w:fldCharType="end"/>
        </w:r>
      </w:hyperlink>
    </w:p>
    <w:p w:rsidR="00C54939" w:rsidRDefault="00EE7059">
      <w:pPr>
        <w:pStyle w:val="Obsah2"/>
        <w:tabs>
          <w:tab w:val="left" w:pos="1000"/>
          <w:tab w:val="right" w:leader="dot" w:pos="9627"/>
        </w:tabs>
        <w:rPr>
          <w:rFonts w:asciiTheme="minorHAnsi" w:eastAsiaTheme="minorEastAsia" w:hAnsiTheme="minorHAnsi" w:cstheme="minorBidi"/>
          <w:noProof/>
          <w:sz w:val="22"/>
          <w:szCs w:val="22"/>
        </w:rPr>
      </w:pPr>
      <w:hyperlink w:anchor="_Toc376422239" w:history="1">
        <w:r w:rsidR="00C54939" w:rsidRPr="005C167B">
          <w:rPr>
            <w:rStyle w:val="Hypertextovodkaz"/>
            <w:noProof/>
          </w:rPr>
          <w:t>2.1.1</w:t>
        </w:r>
        <w:r w:rsidR="00C54939">
          <w:rPr>
            <w:rFonts w:asciiTheme="minorHAnsi" w:eastAsiaTheme="minorEastAsia" w:hAnsiTheme="minorHAnsi" w:cstheme="minorBidi"/>
            <w:noProof/>
            <w:sz w:val="22"/>
            <w:szCs w:val="22"/>
          </w:rPr>
          <w:tab/>
        </w:r>
        <w:r w:rsidR="00C54939" w:rsidRPr="005C167B">
          <w:rPr>
            <w:rStyle w:val="Hypertextovodkaz"/>
            <w:noProof/>
          </w:rPr>
          <w:t>Z hlediska programu Helios Orange</w:t>
        </w:r>
        <w:r w:rsidR="00C54939">
          <w:rPr>
            <w:noProof/>
            <w:webHidden/>
          </w:rPr>
          <w:tab/>
        </w:r>
        <w:r w:rsidR="00C54939">
          <w:rPr>
            <w:noProof/>
            <w:webHidden/>
          </w:rPr>
          <w:fldChar w:fldCharType="begin"/>
        </w:r>
        <w:r w:rsidR="00C54939">
          <w:rPr>
            <w:noProof/>
            <w:webHidden/>
          </w:rPr>
          <w:instrText xml:space="preserve"> PAGEREF _Toc376422239 \h </w:instrText>
        </w:r>
        <w:r w:rsidR="00C54939">
          <w:rPr>
            <w:noProof/>
            <w:webHidden/>
          </w:rPr>
        </w:r>
        <w:r w:rsidR="00C54939">
          <w:rPr>
            <w:noProof/>
            <w:webHidden/>
          </w:rPr>
          <w:fldChar w:fldCharType="separate"/>
        </w:r>
        <w:r w:rsidR="00C54939">
          <w:rPr>
            <w:noProof/>
            <w:webHidden/>
          </w:rPr>
          <w:t>13</w:t>
        </w:r>
        <w:r w:rsidR="00C54939">
          <w:rPr>
            <w:noProof/>
            <w:webHidden/>
          </w:rPr>
          <w:fldChar w:fldCharType="end"/>
        </w:r>
      </w:hyperlink>
    </w:p>
    <w:p w:rsidR="00C54939" w:rsidRDefault="00EE7059">
      <w:pPr>
        <w:pStyle w:val="Obsah2"/>
        <w:tabs>
          <w:tab w:val="left" w:pos="800"/>
          <w:tab w:val="right" w:leader="dot" w:pos="9627"/>
        </w:tabs>
        <w:rPr>
          <w:rFonts w:asciiTheme="minorHAnsi" w:eastAsiaTheme="minorEastAsia" w:hAnsiTheme="minorHAnsi" w:cstheme="minorBidi"/>
          <w:noProof/>
          <w:sz w:val="22"/>
          <w:szCs w:val="22"/>
        </w:rPr>
      </w:pPr>
      <w:hyperlink w:anchor="_Toc376422240" w:history="1">
        <w:r w:rsidR="00C54939" w:rsidRPr="005C167B">
          <w:rPr>
            <w:rStyle w:val="Hypertextovodkaz"/>
            <w:noProof/>
          </w:rPr>
          <w:t>2.2</w:t>
        </w:r>
        <w:r w:rsidR="00C54939">
          <w:rPr>
            <w:rFonts w:asciiTheme="minorHAnsi" w:eastAsiaTheme="minorEastAsia" w:hAnsiTheme="minorHAnsi" w:cstheme="minorBidi"/>
            <w:noProof/>
            <w:sz w:val="22"/>
            <w:szCs w:val="22"/>
          </w:rPr>
          <w:tab/>
        </w:r>
        <w:r w:rsidR="00C54939" w:rsidRPr="005C167B">
          <w:rPr>
            <w:rStyle w:val="Hypertextovodkaz"/>
            <w:noProof/>
          </w:rPr>
          <w:t>Max. vyměřovací základ</w:t>
        </w:r>
        <w:r w:rsidR="00C54939">
          <w:rPr>
            <w:noProof/>
            <w:webHidden/>
          </w:rPr>
          <w:tab/>
        </w:r>
        <w:r w:rsidR="00C54939">
          <w:rPr>
            <w:noProof/>
            <w:webHidden/>
          </w:rPr>
          <w:fldChar w:fldCharType="begin"/>
        </w:r>
        <w:r w:rsidR="00C54939">
          <w:rPr>
            <w:noProof/>
            <w:webHidden/>
          </w:rPr>
          <w:instrText xml:space="preserve"> PAGEREF _Toc376422240 \h </w:instrText>
        </w:r>
        <w:r w:rsidR="00C54939">
          <w:rPr>
            <w:noProof/>
            <w:webHidden/>
          </w:rPr>
        </w:r>
        <w:r w:rsidR="00C54939">
          <w:rPr>
            <w:noProof/>
            <w:webHidden/>
          </w:rPr>
          <w:fldChar w:fldCharType="separate"/>
        </w:r>
        <w:r w:rsidR="00C54939">
          <w:rPr>
            <w:noProof/>
            <w:webHidden/>
          </w:rPr>
          <w:t>14</w:t>
        </w:r>
        <w:r w:rsidR="00C54939">
          <w:rPr>
            <w:noProof/>
            <w:webHidden/>
          </w:rPr>
          <w:fldChar w:fldCharType="end"/>
        </w:r>
      </w:hyperlink>
    </w:p>
    <w:p w:rsidR="00C54939" w:rsidRDefault="00EE7059">
      <w:pPr>
        <w:pStyle w:val="Obsah2"/>
        <w:tabs>
          <w:tab w:val="left" w:pos="1000"/>
          <w:tab w:val="right" w:leader="dot" w:pos="9627"/>
        </w:tabs>
        <w:rPr>
          <w:rFonts w:asciiTheme="minorHAnsi" w:eastAsiaTheme="minorEastAsia" w:hAnsiTheme="minorHAnsi" w:cstheme="minorBidi"/>
          <w:noProof/>
          <w:sz w:val="22"/>
          <w:szCs w:val="22"/>
        </w:rPr>
      </w:pPr>
      <w:hyperlink w:anchor="_Toc376422241" w:history="1">
        <w:r w:rsidR="00C54939" w:rsidRPr="005C167B">
          <w:rPr>
            <w:rStyle w:val="Hypertextovodkaz"/>
            <w:noProof/>
          </w:rPr>
          <w:t>2.2.1</w:t>
        </w:r>
        <w:r w:rsidR="00C54939">
          <w:rPr>
            <w:rFonts w:asciiTheme="minorHAnsi" w:eastAsiaTheme="minorEastAsia" w:hAnsiTheme="minorHAnsi" w:cstheme="minorBidi"/>
            <w:noProof/>
            <w:sz w:val="22"/>
            <w:szCs w:val="22"/>
          </w:rPr>
          <w:tab/>
        </w:r>
        <w:r w:rsidR="00C54939" w:rsidRPr="005C167B">
          <w:rPr>
            <w:rStyle w:val="Hypertextovodkaz"/>
            <w:noProof/>
          </w:rPr>
          <w:t>Z hlediska programu Helios Orange</w:t>
        </w:r>
        <w:r w:rsidR="00C54939">
          <w:rPr>
            <w:noProof/>
            <w:webHidden/>
          </w:rPr>
          <w:tab/>
        </w:r>
        <w:r w:rsidR="00C54939">
          <w:rPr>
            <w:noProof/>
            <w:webHidden/>
          </w:rPr>
          <w:fldChar w:fldCharType="begin"/>
        </w:r>
        <w:r w:rsidR="00C54939">
          <w:rPr>
            <w:noProof/>
            <w:webHidden/>
          </w:rPr>
          <w:instrText xml:space="preserve"> PAGEREF _Toc376422241 \h </w:instrText>
        </w:r>
        <w:r w:rsidR="00C54939">
          <w:rPr>
            <w:noProof/>
            <w:webHidden/>
          </w:rPr>
        </w:r>
        <w:r w:rsidR="00C54939">
          <w:rPr>
            <w:noProof/>
            <w:webHidden/>
          </w:rPr>
          <w:fldChar w:fldCharType="separate"/>
        </w:r>
        <w:r w:rsidR="00C54939">
          <w:rPr>
            <w:noProof/>
            <w:webHidden/>
          </w:rPr>
          <w:t>14</w:t>
        </w:r>
        <w:r w:rsidR="00C54939">
          <w:rPr>
            <w:noProof/>
            <w:webHidden/>
          </w:rPr>
          <w:fldChar w:fldCharType="end"/>
        </w:r>
      </w:hyperlink>
    </w:p>
    <w:p w:rsidR="00C54939" w:rsidRDefault="00EE7059">
      <w:pPr>
        <w:pStyle w:val="Obsah1"/>
        <w:tabs>
          <w:tab w:val="left" w:pos="400"/>
          <w:tab w:val="right" w:leader="dot" w:pos="9627"/>
        </w:tabs>
        <w:rPr>
          <w:rFonts w:asciiTheme="minorHAnsi" w:eastAsiaTheme="minorEastAsia" w:hAnsiTheme="minorHAnsi" w:cstheme="minorBidi"/>
          <w:noProof/>
          <w:sz w:val="22"/>
          <w:szCs w:val="22"/>
        </w:rPr>
      </w:pPr>
      <w:hyperlink w:anchor="_Toc376422242" w:history="1">
        <w:r w:rsidR="00C54939" w:rsidRPr="005C167B">
          <w:rPr>
            <w:rStyle w:val="Hypertextovodkaz"/>
            <w:noProof/>
          </w:rPr>
          <w:t>3</w:t>
        </w:r>
        <w:r w:rsidR="00C54939">
          <w:rPr>
            <w:rFonts w:asciiTheme="minorHAnsi" w:eastAsiaTheme="minorEastAsia" w:hAnsiTheme="minorHAnsi" w:cstheme="minorBidi"/>
            <w:noProof/>
            <w:sz w:val="22"/>
            <w:szCs w:val="22"/>
          </w:rPr>
          <w:tab/>
        </w:r>
        <w:r w:rsidR="00C54939" w:rsidRPr="005C167B">
          <w:rPr>
            <w:rStyle w:val="Hypertextovodkaz"/>
            <w:noProof/>
          </w:rPr>
          <w:t>Důchodové spoření – druhý pilíř</w:t>
        </w:r>
        <w:r w:rsidR="00C54939">
          <w:rPr>
            <w:noProof/>
            <w:webHidden/>
          </w:rPr>
          <w:tab/>
        </w:r>
        <w:r w:rsidR="00C54939">
          <w:rPr>
            <w:noProof/>
            <w:webHidden/>
          </w:rPr>
          <w:fldChar w:fldCharType="begin"/>
        </w:r>
        <w:r w:rsidR="00C54939">
          <w:rPr>
            <w:noProof/>
            <w:webHidden/>
          </w:rPr>
          <w:instrText xml:space="preserve"> PAGEREF _Toc376422242 \h </w:instrText>
        </w:r>
        <w:r w:rsidR="00C54939">
          <w:rPr>
            <w:noProof/>
            <w:webHidden/>
          </w:rPr>
        </w:r>
        <w:r w:rsidR="00C54939">
          <w:rPr>
            <w:noProof/>
            <w:webHidden/>
          </w:rPr>
          <w:fldChar w:fldCharType="separate"/>
        </w:r>
        <w:r w:rsidR="00C54939">
          <w:rPr>
            <w:noProof/>
            <w:webHidden/>
          </w:rPr>
          <w:t>16</w:t>
        </w:r>
        <w:r w:rsidR="00C54939">
          <w:rPr>
            <w:noProof/>
            <w:webHidden/>
          </w:rPr>
          <w:fldChar w:fldCharType="end"/>
        </w:r>
      </w:hyperlink>
    </w:p>
    <w:p w:rsidR="00C54939" w:rsidRDefault="00EE7059">
      <w:pPr>
        <w:pStyle w:val="Obsah2"/>
        <w:tabs>
          <w:tab w:val="left" w:pos="800"/>
          <w:tab w:val="right" w:leader="dot" w:pos="9627"/>
        </w:tabs>
        <w:rPr>
          <w:rFonts w:asciiTheme="minorHAnsi" w:eastAsiaTheme="minorEastAsia" w:hAnsiTheme="minorHAnsi" w:cstheme="minorBidi"/>
          <w:noProof/>
          <w:sz w:val="22"/>
          <w:szCs w:val="22"/>
        </w:rPr>
      </w:pPr>
      <w:hyperlink w:anchor="_Toc376422243" w:history="1">
        <w:r w:rsidR="00C54939" w:rsidRPr="005C167B">
          <w:rPr>
            <w:rStyle w:val="Hypertextovodkaz"/>
            <w:noProof/>
          </w:rPr>
          <w:t>3.1</w:t>
        </w:r>
        <w:r w:rsidR="00C54939">
          <w:rPr>
            <w:rFonts w:asciiTheme="minorHAnsi" w:eastAsiaTheme="minorEastAsia" w:hAnsiTheme="minorHAnsi" w:cstheme="minorBidi"/>
            <w:noProof/>
            <w:sz w:val="22"/>
            <w:szCs w:val="22"/>
          </w:rPr>
          <w:tab/>
        </w:r>
        <w:r w:rsidR="00C54939" w:rsidRPr="005C167B">
          <w:rPr>
            <w:rStyle w:val="Hypertextovodkaz"/>
            <w:noProof/>
          </w:rPr>
          <w:t>Vyúčtování důchodového spoření</w:t>
        </w:r>
        <w:r w:rsidR="00C54939">
          <w:rPr>
            <w:noProof/>
            <w:webHidden/>
          </w:rPr>
          <w:tab/>
        </w:r>
        <w:r w:rsidR="00C54939">
          <w:rPr>
            <w:noProof/>
            <w:webHidden/>
          </w:rPr>
          <w:fldChar w:fldCharType="begin"/>
        </w:r>
        <w:r w:rsidR="00C54939">
          <w:rPr>
            <w:noProof/>
            <w:webHidden/>
          </w:rPr>
          <w:instrText xml:space="preserve"> PAGEREF _Toc376422243 \h </w:instrText>
        </w:r>
        <w:r w:rsidR="00C54939">
          <w:rPr>
            <w:noProof/>
            <w:webHidden/>
          </w:rPr>
        </w:r>
        <w:r w:rsidR="00C54939">
          <w:rPr>
            <w:noProof/>
            <w:webHidden/>
          </w:rPr>
          <w:fldChar w:fldCharType="separate"/>
        </w:r>
        <w:r w:rsidR="00C54939">
          <w:rPr>
            <w:noProof/>
            <w:webHidden/>
          </w:rPr>
          <w:t>16</w:t>
        </w:r>
        <w:r w:rsidR="00C54939">
          <w:rPr>
            <w:noProof/>
            <w:webHidden/>
          </w:rPr>
          <w:fldChar w:fldCharType="end"/>
        </w:r>
      </w:hyperlink>
    </w:p>
    <w:p w:rsidR="00C54939" w:rsidRDefault="00EE7059">
      <w:pPr>
        <w:pStyle w:val="Obsah2"/>
        <w:tabs>
          <w:tab w:val="left" w:pos="1000"/>
          <w:tab w:val="right" w:leader="dot" w:pos="9627"/>
        </w:tabs>
        <w:rPr>
          <w:rFonts w:asciiTheme="minorHAnsi" w:eastAsiaTheme="minorEastAsia" w:hAnsiTheme="minorHAnsi" w:cstheme="minorBidi"/>
          <w:noProof/>
          <w:sz w:val="22"/>
          <w:szCs w:val="22"/>
        </w:rPr>
      </w:pPr>
      <w:hyperlink w:anchor="_Toc376422244" w:history="1">
        <w:r w:rsidR="00C54939" w:rsidRPr="005C167B">
          <w:rPr>
            <w:rStyle w:val="Hypertextovodkaz"/>
            <w:noProof/>
          </w:rPr>
          <w:t>3.1.1</w:t>
        </w:r>
        <w:r w:rsidR="00C54939">
          <w:rPr>
            <w:rFonts w:asciiTheme="minorHAnsi" w:eastAsiaTheme="minorEastAsia" w:hAnsiTheme="minorHAnsi" w:cstheme="minorBidi"/>
            <w:noProof/>
            <w:sz w:val="22"/>
            <w:szCs w:val="22"/>
          </w:rPr>
          <w:tab/>
        </w:r>
        <w:r w:rsidR="00C54939" w:rsidRPr="005C167B">
          <w:rPr>
            <w:rStyle w:val="Hypertextovodkaz"/>
            <w:noProof/>
          </w:rPr>
          <w:t>Z hlediska programu Helios Orange</w:t>
        </w:r>
        <w:r w:rsidR="00C54939">
          <w:rPr>
            <w:noProof/>
            <w:webHidden/>
          </w:rPr>
          <w:tab/>
        </w:r>
        <w:r w:rsidR="00C54939">
          <w:rPr>
            <w:noProof/>
            <w:webHidden/>
          </w:rPr>
          <w:fldChar w:fldCharType="begin"/>
        </w:r>
        <w:r w:rsidR="00C54939">
          <w:rPr>
            <w:noProof/>
            <w:webHidden/>
          </w:rPr>
          <w:instrText xml:space="preserve"> PAGEREF _Toc376422244 \h </w:instrText>
        </w:r>
        <w:r w:rsidR="00C54939">
          <w:rPr>
            <w:noProof/>
            <w:webHidden/>
          </w:rPr>
        </w:r>
        <w:r w:rsidR="00C54939">
          <w:rPr>
            <w:noProof/>
            <w:webHidden/>
          </w:rPr>
          <w:fldChar w:fldCharType="separate"/>
        </w:r>
        <w:r w:rsidR="00C54939">
          <w:rPr>
            <w:noProof/>
            <w:webHidden/>
          </w:rPr>
          <w:t>16</w:t>
        </w:r>
        <w:r w:rsidR="00C54939">
          <w:rPr>
            <w:noProof/>
            <w:webHidden/>
          </w:rPr>
          <w:fldChar w:fldCharType="end"/>
        </w:r>
      </w:hyperlink>
    </w:p>
    <w:p w:rsidR="00C54939" w:rsidRDefault="00EE7059">
      <w:pPr>
        <w:pStyle w:val="Obsah2"/>
        <w:tabs>
          <w:tab w:val="left" w:pos="800"/>
          <w:tab w:val="right" w:leader="dot" w:pos="9627"/>
        </w:tabs>
        <w:rPr>
          <w:rFonts w:asciiTheme="minorHAnsi" w:eastAsiaTheme="minorEastAsia" w:hAnsiTheme="minorHAnsi" w:cstheme="minorBidi"/>
          <w:noProof/>
          <w:sz w:val="22"/>
          <w:szCs w:val="22"/>
        </w:rPr>
      </w:pPr>
      <w:hyperlink w:anchor="_Toc376422245" w:history="1">
        <w:r w:rsidR="00C54939" w:rsidRPr="005C167B">
          <w:rPr>
            <w:rStyle w:val="Hypertextovodkaz"/>
            <w:noProof/>
          </w:rPr>
          <w:t>3.2</w:t>
        </w:r>
        <w:r w:rsidR="00C54939">
          <w:rPr>
            <w:rFonts w:asciiTheme="minorHAnsi" w:eastAsiaTheme="minorEastAsia" w:hAnsiTheme="minorHAnsi" w:cstheme="minorBidi"/>
            <w:noProof/>
            <w:sz w:val="22"/>
            <w:szCs w:val="22"/>
          </w:rPr>
          <w:tab/>
        </w:r>
        <w:r w:rsidR="00C54939" w:rsidRPr="005C167B">
          <w:rPr>
            <w:rStyle w:val="Hypertextovodkaz"/>
            <w:noProof/>
          </w:rPr>
          <w:t>Změny výkazu hlášení a následné hlášení důchodového spoření</w:t>
        </w:r>
        <w:r w:rsidR="00C54939">
          <w:rPr>
            <w:noProof/>
            <w:webHidden/>
          </w:rPr>
          <w:tab/>
        </w:r>
        <w:r w:rsidR="00C54939">
          <w:rPr>
            <w:noProof/>
            <w:webHidden/>
          </w:rPr>
          <w:fldChar w:fldCharType="begin"/>
        </w:r>
        <w:r w:rsidR="00C54939">
          <w:rPr>
            <w:noProof/>
            <w:webHidden/>
          </w:rPr>
          <w:instrText xml:space="preserve"> PAGEREF _Toc376422245 \h </w:instrText>
        </w:r>
        <w:r w:rsidR="00C54939">
          <w:rPr>
            <w:noProof/>
            <w:webHidden/>
          </w:rPr>
        </w:r>
        <w:r w:rsidR="00C54939">
          <w:rPr>
            <w:noProof/>
            <w:webHidden/>
          </w:rPr>
          <w:fldChar w:fldCharType="separate"/>
        </w:r>
        <w:r w:rsidR="00C54939">
          <w:rPr>
            <w:noProof/>
            <w:webHidden/>
          </w:rPr>
          <w:t>22</w:t>
        </w:r>
        <w:r w:rsidR="00C54939">
          <w:rPr>
            <w:noProof/>
            <w:webHidden/>
          </w:rPr>
          <w:fldChar w:fldCharType="end"/>
        </w:r>
      </w:hyperlink>
    </w:p>
    <w:p w:rsidR="00C54939" w:rsidRDefault="00EE7059">
      <w:pPr>
        <w:pStyle w:val="Obsah2"/>
        <w:tabs>
          <w:tab w:val="left" w:pos="1000"/>
          <w:tab w:val="right" w:leader="dot" w:pos="9627"/>
        </w:tabs>
        <w:rPr>
          <w:rFonts w:asciiTheme="minorHAnsi" w:eastAsiaTheme="minorEastAsia" w:hAnsiTheme="minorHAnsi" w:cstheme="minorBidi"/>
          <w:noProof/>
          <w:sz w:val="22"/>
          <w:szCs w:val="22"/>
        </w:rPr>
      </w:pPr>
      <w:hyperlink w:anchor="_Toc376422246" w:history="1">
        <w:r w:rsidR="00C54939" w:rsidRPr="005C167B">
          <w:rPr>
            <w:rStyle w:val="Hypertextovodkaz"/>
            <w:noProof/>
          </w:rPr>
          <w:t>3.2.1</w:t>
        </w:r>
        <w:r w:rsidR="00C54939">
          <w:rPr>
            <w:rFonts w:asciiTheme="minorHAnsi" w:eastAsiaTheme="minorEastAsia" w:hAnsiTheme="minorHAnsi" w:cstheme="minorBidi"/>
            <w:noProof/>
            <w:sz w:val="22"/>
            <w:szCs w:val="22"/>
          </w:rPr>
          <w:tab/>
        </w:r>
        <w:r w:rsidR="00C54939" w:rsidRPr="005C167B">
          <w:rPr>
            <w:rStyle w:val="Hypertextovodkaz"/>
            <w:noProof/>
          </w:rPr>
          <w:t>Z hlediska programu Helios Orange</w:t>
        </w:r>
        <w:r w:rsidR="00C54939">
          <w:rPr>
            <w:noProof/>
            <w:webHidden/>
          </w:rPr>
          <w:tab/>
        </w:r>
        <w:r w:rsidR="00C54939">
          <w:rPr>
            <w:noProof/>
            <w:webHidden/>
          </w:rPr>
          <w:fldChar w:fldCharType="begin"/>
        </w:r>
        <w:r w:rsidR="00C54939">
          <w:rPr>
            <w:noProof/>
            <w:webHidden/>
          </w:rPr>
          <w:instrText xml:space="preserve"> PAGEREF _Toc376422246 \h </w:instrText>
        </w:r>
        <w:r w:rsidR="00C54939">
          <w:rPr>
            <w:noProof/>
            <w:webHidden/>
          </w:rPr>
        </w:r>
        <w:r w:rsidR="00C54939">
          <w:rPr>
            <w:noProof/>
            <w:webHidden/>
          </w:rPr>
          <w:fldChar w:fldCharType="separate"/>
        </w:r>
        <w:r w:rsidR="00C54939">
          <w:rPr>
            <w:noProof/>
            <w:webHidden/>
          </w:rPr>
          <w:t>23</w:t>
        </w:r>
        <w:r w:rsidR="00C54939">
          <w:rPr>
            <w:noProof/>
            <w:webHidden/>
          </w:rPr>
          <w:fldChar w:fldCharType="end"/>
        </w:r>
      </w:hyperlink>
    </w:p>
    <w:p w:rsidR="00C54939" w:rsidRDefault="00EE7059">
      <w:pPr>
        <w:pStyle w:val="Obsah1"/>
        <w:tabs>
          <w:tab w:val="left" w:pos="400"/>
          <w:tab w:val="right" w:leader="dot" w:pos="9627"/>
        </w:tabs>
        <w:rPr>
          <w:rFonts w:asciiTheme="minorHAnsi" w:eastAsiaTheme="minorEastAsia" w:hAnsiTheme="minorHAnsi" w:cstheme="minorBidi"/>
          <w:noProof/>
          <w:sz w:val="22"/>
          <w:szCs w:val="22"/>
        </w:rPr>
      </w:pPr>
      <w:hyperlink w:anchor="_Toc376422247" w:history="1">
        <w:r w:rsidR="00C54939" w:rsidRPr="005C167B">
          <w:rPr>
            <w:rStyle w:val="Hypertextovodkaz"/>
            <w:noProof/>
          </w:rPr>
          <w:t>4</w:t>
        </w:r>
        <w:r w:rsidR="00C54939">
          <w:rPr>
            <w:rFonts w:asciiTheme="minorHAnsi" w:eastAsiaTheme="minorEastAsia" w:hAnsiTheme="minorHAnsi" w:cstheme="minorBidi"/>
            <w:noProof/>
            <w:sz w:val="22"/>
            <w:szCs w:val="22"/>
          </w:rPr>
          <w:tab/>
        </w:r>
        <w:r w:rsidR="00C54939" w:rsidRPr="005C167B">
          <w:rPr>
            <w:rStyle w:val="Hypertextovodkaz"/>
            <w:noProof/>
          </w:rPr>
          <w:t>Nemocenské pojištění od roku 2014</w:t>
        </w:r>
        <w:r w:rsidR="00C54939">
          <w:rPr>
            <w:noProof/>
            <w:webHidden/>
          </w:rPr>
          <w:tab/>
        </w:r>
        <w:r w:rsidR="00C54939">
          <w:rPr>
            <w:noProof/>
            <w:webHidden/>
          </w:rPr>
          <w:fldChar w:fldCharType="begin"/>
        </w:r>
        <w:r w:rsidR="00C54939">
          <w:rPr>
            <w:noProof/>
            <w:webHidden/>
          </w:rPr>
          <w:instrText xml:space="preserve"> PAGEREF _Toc376422247 \h </w:instrText>
        </w:r>
        <w:r w:rsidR="00C54939">
          <w:rPr>
            <w:noProof/>
            <w:webHidden/>
          </w:rPr>
        </w:r>
        <w:r w:rsidR="00C54939">
          <w:rPr>
            <w:noProof/>
            <w:webHidden/>
          </w:rPr>
          <w:fldChar w:fldCharType="separate"/>
        </w:r>
        <w:r w:rsidR="00C54939">
          <w:rPr>
            <w:noProof/>
            <w:webHidden/>
          </w:rPr>
          <w:t>25</w:t>
        </w:r>
        <w:r w:rsidR="00C54939">
          <w:rPr>
            <w:noProof/>
            <w:webHidden/>
          </w:rPr>
          <w:fldChar w:fldCharType="end"/>
        </w:r>
      </w:hyperlink>
    </w:p>
    <w:p w:rsidR="00C54939" w:rsidRDefault="00EE7059">
      <w:pPr>
        <w:pStyle w:val="Obsah2"/>
        <w:tabs>
          <w:tab w:val="left" w:pos="800"/>
          <w:tab w:val="right" w:leader="dot" w:pos="9627"/>
        </w:tabs>
        <w:rPr>
          <w:rFonts w:asciiTheme="minorHAnsi" w:eastAsiaTheme="minorEastAsia" w:hAnsiTheme="minorHAnsi" w:cstheme="minorBidi"/>
          <w:noProof/>
          <w:sz w:val="22"/>
          <w:szCs w:val="22"/>
        </w:rPr>
      </w:pPr>
      <w:hyperlink w:anchor="_Toc376422248" w:history="1">
        <w:r w:rsidR="00C54939" w:rsidRPr="005C167B">
          <w:rPr>
            <w:rStyle w:val="Hypertextovodkaz"/>
            <w:noProof/>
          </w:rPr>
          <w:t>4.1</w:t>
        </w:r>
        <w:r w:rsidR="00C54939">
          <w:rPr>
            <w:rFonts w:asciiTheme="minorHAnsi" w:eastAsiaTheme="minorEastAsia" w:hAnsiTheme="minorHAnsi" w:cstheme="minorBidi"/>
            <w:noProof/>
            <w:sz w:val="22"/>
            <w:szCs w:val="22"/>
          </w:rPr>
          <w:tab/>
        </w:r>
        <w:r w:rsidR="00C54939" w:rsidRPr="005C167B">
          <w:rPr>
            <w:rStyle w:val="Hypertextovodkaz"/>
            <w:noProof/>
          </w:rPr>
          <w:t>Redukční hranice pro nemocenské dávky</w:t>
        </w:r>
        <w:r w:rsidR="00C54939">
          <w:rPr>
            <w:noProof/>
            <w:webHidden/>
          </w:rPr>
          <w:tab/>
        </w:r>
        <w:r w:rsidR="00C54939">
          <w:rPr>
            <w:noProof/>
            <w:webHidden/>
          </w:rPr>
          <w:fldChar w:fldCharType="begin"/>
        </w:r>
        <w:r w:rsidR="00C54939">
          <w:rPr>
            <w:noProof/>
            <w:webHidden/>
          </w:rPr>
          <w:instrText xml:space="preserve"> PAGEREF _Toc376422248 \h </w:instrText>
        </w:r>
        <w:r w:rsidR="00C54939">
          <w:rPr>
            <w:noProof/>
            <w:webHidden/>
          </w:rPr>
        </w:r>
        <w:r w:rsidR="00C54939">
          <w:rPr>
            <w:noProof/>
            <w:webHidden/>
          </w:rPr>
          <w:fldChar w:fldCharType="separate"/>
        </w:r>
        <w:r w:rsidR="00C54939">
          <w:rPr>
            <w:noProof/>
            <w:webHidden/>
          </w:rPr>
          <w:t>25</w:t>
        </w:r>
        <w:r w:rsidR="00C54939">
          <w:rPr>
            <w:noProof/>
            <w:webHidden/>
          </w:rPr>
          <w:fldChar w:fldCharType="end"/>
        </w:r>
      </w:hyperlink>
    </w:p>
    <w:p w:rsidR="00C54939" w:rsidRDefault="00EE7059">
      <w:pPr>
        <w:pStyle w:val="Obsah2"/>
        <w:tabs>
          <w:tab w:val="left" w:pos="800"/>
          <w:tab w:val="right" w:leader="dot" w:pos="9627"/>
        </w:tabs>
        <w:rPr>
          <w:rFonts w:asciiTheme="minorHAnsi" w:eastAsiaTheme="minorEastAsia" w:hAnsiTheme="minorHAnsi" w:cstheme="minorBidi"/>
          <w:noProof/>
          <w:sz w:val="22"/>
          <w:szCs w:val="22"/>
        </w:rPr>
      </w:pPr>
      <w:hyperlink w:anchor="_Toc376422249" w:history="1">
        <w:r w:rsidR="00C54939" w:rsidRPr="005C167B">
          <w:rPr>
            <w:rStyle w:val="Hypertextovodkaz"/>
            <w:noProof/>
          </w:rPr>
          <w:t>4.2</w:t>
        </w:r>
        <w:r w:rsidR="00C54939">
          <w:rPr>
            <w:rFonts w:asciiTheme="minorHAnsi" w:eastAsiaTheme="minorEastAsia" w:hAnsiTheme="minorHAnsi" w:cstheme="minorBidi"/>
            <w:noProof/>
            <w:sz w:val="22"/>
            <w:szCs w:val="22"/>
          </w:rPr>
          <w:tab/>
        </w:r>
        <w:r w:rsidR="00C54939" w:rsidRPr="005C167B">
          <w:rPr>
            <w:rStyle w:val="Hypertextovodkaz"/>
            <w:noProof/>
          </w:rPr>
          <w:t>Nemocenská</w:t>
        </w:r>
        <w:r w:rsidR="00C54939">
          <w:rPr>
            <w:noProof/>
            <w:webHidden/>
          </w:rPr>
          <w:tab/>
        </w:r>
        <w:r w:rsidR="00C54939">
          <w:rPr>
            <w:noProof/>
            <w:webHidden/>
          </w:rPr>
          <w:fldChar w:fldCharType="begin"/>
        </w:r>
        <w:r w:rsidR="00C54939">
          <w:rPr>
            <w:noProof/>
            <w:webHidden/>
          </w:rPr>
          <w:instrText xml:space="preserve"> PAGEREF _Toc376422249 \h </w:instrText>
        </w:r>
        <w:r w:rsidR="00C54939">
          <w:rPr>
            <w:noProof/>
            <w:webHidden/>
          </w:rPr>
        </w:r>
        <w:r w:rsidR="00C54939">
          <w:rPr>
            <w:noProof/>
            <w:webHidden/>
          </w:rPr>
          <w:fldChar w:fldCharType="separate"/>
        </w:r>
        <w:r w:rsidR="00C54939">
          <w:rPr>
            <w:noProof/>
            <w:webHidden/>
          </w:rPr>
          <w:t>26</w:t>
        </w:r>
        <w:r w:rsidR="00C54939">
          <w:rPr>
            <w:noProof/>
            <w:webHidden/>
          </w:rPr>
          <w:fldChar w:fldCharType="end"/>
        </w:r>
      </w:hyperlink>
    </w:p>
    <w:p w:rsidR="00C54939" w:rsidRDefault="00EE7059">
      <w:pPr>
        <w:pStyle w:val="Obsah2"/>
        <w:tabs>
          <w:tab w:val="left" w:pos="800"/>
          <w:tab w:val="right" w:leader="dot" w:pos="9627"/>
        </w:tabs>
        <w:rPr>
          <w:rFonts w:asciiTheme="minorHAnsi" w:eastAsiaTheme="minorEastAsia" w:hAnsiTheme="minorHAnsi" w:cstheme="minorBidi"/>
          <w:noProof/>
          <w:sz w:val="22"/>
          <w:szCs w:val="22"/>
        </w:rPr>
      </w:pPr>
      <w:hyperlink w:anchor="_Toc376422250" w:history="1">
        <w:r w:rsidR="00C54939" w:rsidRPr="005C167B">
          <w:rPr>
            <w:rStyle w:val="Hypertextovodkaz"/>
            <w:noProof/>
          </w:rPr>
          <w:t>4.3</w:t>
        </w:r>
        <w:r w:rsidR="00C54939">
          <w:rPr>
            <w:rFonts w:asciiTheme="minorHAnsi" w:eastAsiaTheme="minorEastAsia" w:hAnsiTheme="minorHAnsi" w:cstheme="minorBidi"/>
            <w:noProof/>
            <w:sz w:val="22"/>
            <w:szCs w:val="22"/>
          </w:rPr>
          <w:tab/>
        </w:r>
        <w:r w:rsidR="00C54939" w:rsidRPr="005C167B">
          <w:rPr>
            <w:rStyle w:val="Hypertextovodkaz"/>
            <w:noProof/>
          </w:rPr>
          <w:t>Ošetřovné</w:t>
        </w:r>
        <w:r w:rsidR="00C54939">
          <w:rPr>
            <w:noProof/>
            <w:webHidden/>
          </w:rPr>
          <w:tab/>
        </w:r>
        <w:r w:rsidR="00C54939">
          <w:rPr>
            <w:noProof/>
            <w:webHidden/>
          </w:rPr>
          <w:fldChar w:fldCharType="begin"/>
        </w:r>
        <w:r w:rsidR="00C54939">
          <w:rPr>
            <w:noProof/>
            <w:webHidden/>
          </w:rPr>
          <w:instrText xml:space="preserve"> PAGEREF _Toc376422250 \h </w:instrText>
        </w:r>
        <w:r w:rsidR="00C54939">
          <w:rPr>
            <w:noProof/>
            <w:webHidden/>
          </w:rPr>
        </w:r>
        <w:r w:rsidR="00C54939">
          <w:rPr>
            <w:noProof/>
            <w:webHidden/>
          </w:rPr>
          <w:fldChar w:fldCharType="separate"/>
        </w:r>
        <w:r w:rsidR="00C54939">
          <w:rPr>
            <w:noProof/>
            <w:webHidden/>
          </w:rPr>
          <w:t>26</w:t>
        </w:r>
        <w:r w:rsidR="00C54939">
          <w:rPr>
            <w:noProof/>
            <w:webHidden/>
          </w:rPr>
          <w:fldChar w:fldCharType="end"/>
        </w:r>
      </w:hyperlink>
    </w:p>
    <w:p w:rsidR="00C54939" w:rsidRDefault="00EE7059">
      <w:pPr>
        <w:pStyle w:val="Obsah2"/>
        <w:tabs>
          <w:tab w:val="left" w:pos="800"/>
          <w:tab w:val="right" w:leader="dot" w:pos="9627"/>
        </w:tabs>
        <w:rPr>
          <w:rFonts w:asciiTheme="minorHAnsi" w:eastAsiaTheme="minorEastAsia" w:hAnsiTheme="minorHAnsi" w:cstheme="minorBidi"/>
          <w:noProof/>
          <w:sz w:val="22"/>
          <w:szCs w:val="22"/>
        </w:rPr>
      </w:pPr>
      <w:hyperlink w:anchor="_Toc376422251" w:history="1">
        <w:r w:rsidR="00C54939" w:rsidRPr="005C167B">
          <w:rPr>
            <w:rStyle w:val="Hypertextovodkaz"/>
            <w:noProof/>
          </w:rPr>
          <w:t>4.4</w:t>
        </w:r>
        <w:r w:rsidR="00C54939">
          <w:rPr>
            <w:rFonts w:asciiTheme="minorHAnsi" w:eastAsiaTheme="minorEastAsia" w:hAnsiTheme="minorHAnsi" w:cstheme="minorBidi"/>
            <w:noProof/>
            <w:sz w:val="22"/>
            <w:szCs w:val="22"/>
          </w:rPr>
          <w:tab/>
        </w:r>
        <w:r w:rsidR="00C54939" w:rsidRPr="005C167B">
          <w:rPr>
            <w:rStyle w:val="Hypertextovodkaz"/>
            <w:noProof/>
          </w:rPr>
          <w:t>Mateřské dávky</w:t>
        </w:r>
        <w:r w:rsidR="00C54939">
          <w:rPr>
            <w:noProof/>
            <w:webHidden/>
          </w:rPr>
          <w:tab/>
        </w:r>
        <w:r w:rsidR="00C54939">
          <w:rPr>
            <w:noProof/>
            <w:webHidden/>
          </w:rPr>
          <w:fldChar w:fldCharType="begin"/>
        </w:r>
        <w:r w:rsidR="00C54939">
          <w:rPr>
            <w:noProof/>
            <w:webHidden/>
          </w:rPr>
          <w:instrText xml:space="preserve"> PAGEREF _Toc376422251 \h </w:instrText>
        </w:r>
        <w:r w:rsidR="00C54939">
          <w:rPr>
            <w:noProof/>
            <w:webHidden/>
          </w:rPr>
        </w:r>
        <w:r w:rsidR="00C54939">
          <w:rPr>
            <w:noProof/>
            <w:webHidden/>
          </w:rPr>
          <w:fldChar w:fldCharType="separate"/>
        </w:r>
        <w:r w:rsidR="00C54939">
          <w:rPr>
            <w:noProof/>
            <w:webHidden/>
          </w:rPr>
          <w:t>26</w:t>
        </w:r>
        <w:r w:rsidR="00C54939">
          <w:rPr>
            <w:noProof/>
            <w:webHidden/>
          </w:rPr>
          <w:fldChar w:fldCharType="end"/>
        </w:r>
      </w:hyperlink>
    </w:p>
    <w:p w:rsidR="00C54939" w:rsidRDefault="00EE7059">
      <w:pPr>
        <w:pStyle w:val="Obsah2"/>
        <w:tabs>
          <w:tab w:val="left" w:pos="800"/>
          <w:tab w:val="right" w:leader="dot" w:pos="9627"/>
        </w:tabs>
        <w:rPr>
          <w:rFonts w:asciiTheme="minorHAnsi" w:eastAsiaTheme="minorEastAsia" w:hAnsiTheme="minorHAnsi" w:cstheme="minorBidi"/>
          <w:noProof/>
          <w:sz w:val="22"/>
          <w:szCs w:val="22"/>
        </w:rPr>
      </w:pPr>
      <w:hyperlink w:anchor="_Toc376422252" w:history="1">
        <w:r w:rsidR="00C54939" w:rsidRPr="005C167B">
          <w:rPr>
            <w:rStyle w:val="Hypertextovodkaz"/>
            <w:noProof/>
          </w:rPr>
          <w:t>4.5</w:t>
        </w:r>
        <w:r w:rsidR="00C54939">
          <w:rPr>
            <w:rFonts w:asciiTheme="minorHAnsi" w:eastAsiaTheme="minorEastAsia" w:hAnsiTheme="minorHAnsi" w:cstheme="minorBidi"/>
            <w:noProof/>
            <w:sz w:val="22"/>
            <w:szCs w:val="22"/>
          </w:rPr>
          <w:tab/>
        </w:r>
        <w:r w:rsidR="00C54939" w:rsidRPr="005C167B">
          <w:rPr>
            <w:rStyle w:val="Hypertextovodkaz"/>
            <w:noProof/>
          </w:rPr>
          <w:t>Obecně o nemocenském pojištění</w:t>
        </w:r>
        <w:r w:rsidR="00C54939">
          <w:rPr>
            <w:noProof/>
            <w:webHidden/>
          </w:rPr>
          <w:tab/>
        </w:r>
        <w:r w:rsidR="00C54939">
          <w:rPr>
            <w:noProof/>
            <w:webHidden/>
          </w:rPr>
          <w:fldChar w:fldCharType="begin"/>
        </w:r>
        <w:r w:rsidR="00C54939">
          <w:rPr>
            <w:noProof/>
            <w:webHidden/>
          </w:rPr>
          <w:instrText xml:space="preserve"> PAGEREF _Toc376422252 \h </w:instrText>
        </w:r>
        <w:r w:rsidR="00C54939">
          <w:rPr>
            <w:noProof/>
            <w:webHidden/>
          </w:rPr>
        </w:r>
        <w:r w:rsidR="00C54939">
          <w:rPr>
            <w:noProof/>
            <w:webHidden/>
          </w:rPr>
          <w:fldChar w:fldCharType="separate"/>
        </w:r>
        <w:r w:rsidR="00C54939">
          <w:rPr>
            <w:noProof/>
            <w:webHidden/>
          </w:rPr>
          <w:t>27</w:t>
        </w:r>
        <w:r w:rsidR="00C54939">
          <w:rPr>
            <w:noProof/>
            <w:webHidden/>
          </w:rPr>
          <w:fldChar w:fldCharType="end"/>
        </w:r>
      </w:hyperlink>
    </w:p>
    <w:p w:rsidR="00C54939" w:rsidRDefault="00EE7059">
      <w:pPr>
        <w:pStyle w:val="Obsah2"/>
        <w:tabs>
          <w:tab w:val="left" w:pos="1000"/>
          <w:tab w:val="right" w:leader="dot" w:pos="9627"/>
        </w:tabs>
        <w:rPr>
          <w:rFonts w:asciiTheme="minorHAnsi" w:eastAsiaTheme="minorEastAsia" w:hAnsiTheme="minorHAnsi" w:cstheme="minorBidi"/>
          <w:noProof/>
          <w:sz w:val="22"/>
          <w:szCs w:val="22"/>
        </w:rPr>
      </w:pPr>
      <w:hyperlink w:anchor="_Toc376422253" w:history="1">
        <w:r w:rsidR="00C54939" w:rsidRPr="005C167B">
          <w:rPr>
            <w:rStyle w:val="Hypertextovodkaz"/>
            <w:noProof/>
          </w:rPr>
          <w:t>4.5.1</w:t>
        </w:r>
        <w:r w:rsidR="00C54939">
          <w:rPr>
            <w:rFonts w:asciiTheme="minorHAnsi" w:eastAsiaTheme="minorEastAsia" w:hAnsiTheme="minorHAnsi" w:cstheme="minorBidi"/>
            <w:noProof/>
            <w:sz w:val="22"/>
            <w:szCs w:val="22"/>
          </w:rPr>
          <w:tab/>
        </w:r>
        <w:r w:rsidR="00C54939" w:rsidRPr="005C167B">
          <w:rPr>
            <w:rStyle w:val="Hypertextovodkaz"/>
            <w:noProof/>
          </w:rPr>
          <w:t>Účinnost</w:t>
        </w:r>
        <w:r w:rsidR="00C54939">
          <w:rPr>
            <w:noProof/>
            <w:webHidden/>
          </w:rPr>
          <w:tab/>
        </w:r>
        <w:r w:rsidR="00C54939">
          <w:rPr>
            <w:noProof/>
            <w:webHidden/>
          </w:rPr>
          <w:fldChar w:fldCharType="begin"/>
        </w:r>
        <w:r w:rsidR="00C54939">
          <w:rPr>
            <w:noProof/>
            <w:webHidden/>
          </w:rPr>
          <w:instrText xml:space="preserve"> PAGEREF _Toc376422253 \h </w:instrText>
        </w:r>
        <w:r w:rsidR="00C54939">
          <w:rPr>
            <w:noProof/>
            <w:webHidden/>
          </w:rPr>
        </w:r>
        <w:r w:rsidR="00C54939">
          <w:rPr>
            <w:noProof/>
            <w:webHidden/>
          </w:rPr>
          <w:fldChar w:fldCharType="separate"/>
        </w:r>
        <w:r w:rsidR="00C54939">
          <w:rPr>
            <w:noProof/>
            <w:webHidden/>
          </w:rPr>
          <w:t>27</w:t>
        </w:r>
        <w:r w:rsidR="00C54939">
          <w:rPr>
            <w:noProof/>
            <w:webHidden/>
          </w:rPr>
          <w:fldChar w:fldCharType="end"/>
        </w:r>
      </w:hyperlink>
    </w:p>
    <w:p w:rsidR="00C54939" w:rsidRDefault="00EE7059">
      <w:pPr>
        <w:pStyle w:val="Obsah2"/>
        <w:tabs>
          <w:tab w:val="left" w:pos="800"/>
          <w:tab w:val="right" w:leader="dot" w:pos="9627"/>
        </w:tabs>
        <w:rPr>
          <w:rFonts w:asciiTheme="minorHAnsi" w:eastAsiaTheme="minorEastAsia" w:hAnsiTheme="minorHAnsi" w:cstheme="minorBidi"/>
          <w:noProof/>
          <w:sz w:val="22"/>
          <w:szCs w:val="22"/>
        </w:rPr>
      </w:pPr>
      <w:hyperlink w:anchor="_Toc376422254" w:history="1">
        <w:r w:rsidR="00C54939" w:rsidRPr="005C167B">
          <w:rPr>
            <w:rStyle w:val="Hypertextovodkaz"/>
            <w:noProof/>
          </w:rPr>
          <w:t>4.6</w:t>
        </w:r>
        <w:r w:rsidR="00C54939">
          <w:rPr>
            <w:rFonts w:asciiTheme="minorHAnsi" w:eastAsiaTheme="minorEastAsia" w:hAnsiTheme="minorHAnsi" w:cstheme="minorBidi"/>
            <w:noProof/>
            <w:sz w:val="22"/>
            <w:szCs w:val="22"/>
          </w:rPr>
          <w:tab/>
        </w:r>
        <w:r w:rsidR="00C54939" w:rsidRPr="005C167B">
          <w:rPr>
            <w:rStyle w:val="Hypertextovodkaz"/>
            <w:noProof/>
          </w:rPr>
          <w:t>Z hlediska Helios Orange</w:t>
        </w:r>
        <w:r w:rsidR="00C54939">
          <w:rPr>
            <w:noProof/>
            <w:webHidden/>
          </w:rPr>
          <w:tab/>
        </w:r>
        <w:r w:rsidR="00C54939">
          <w:rPr>
            <w:noProof/>
            <w:webHidden/>
          </w:rPr>
          <w:fldChar w:fldCharType="begin"/>
        </w:r>
        <w:r w:rsidR="00C54939">
          <w:rPr>
            <w:noProof/>
            <w:webHidden/>
          </w:rPr>
          <w:instrText xml:space="preserve"> PAGEREF _Toc376422254 \h </w:instrText>
        </w:r>
        <w:r w:rsidR="00C54939">
          <w:rPr>
            <w:noProof/>
            <w:webHidden/>
          </w:rPr>
        </w:r>
        <w:r w:rsidR="00C54939">
          <w:rPr>
            <w:noProof/>
            <w:webHidden/>
          </w:rPr>
          <w:fldChar w:fldCharType="separate"/>
        </w:r>
        <w:r w:rsidR="00C54939">
          <w:rPr>
            <w:noProof/>
            <w:webHidden/>
          </w:rPr>
          <w:t>27</w:t>
        </w:r>
        <w:r w:rsidR="00C54939">
          <w:rPr>
            <w:noProof/>
            <w:webHidden/>
          </w:rPr>
          <w:fldChar w:fldCharType="end"/>
        </w:r>
      </w:hyperlink>
    </w:p>
    <w:p w:rsidR="00C54939" w:rsidRDefault="00EE7059">
      <w:pPr>
        <w:pStyle w:val="Obsah1"/>
        <w:tabs>
          <w:tab w:val="left" w:pos="400"/>
          <w:tab w:val="right" w:leader="dot" w:pos="9627"/>
        </w:tabs>
        <w:rPr>
          <w:rFonts w:asciiTheme="minorHAnsi" w:eastAsiaTheme="minorEastAsia" w:hAnsiTheme="minorHAnsi" w:cstheme="minorBidi"/>
          <w:noProof/>
          <w:sz w:val="22"/>
          <w:szCs w:val="22"/>
        </w:rPr>
      </w:pPr>
      <w:hyperlink w:anchor="_Toc376422255" w:history="1">
        <w:r w:rsidR="00C54939" w:rsidRPr="005C167B">
          <w:rPr>
            <w:rStyle w:val="Hypertextovodkaz"/>
            <w:noProof/>
          </w:rPr>
          <w:t>5</w:t>
        </w:r>
        <w:r w:rsidR="00C54939">
          <w:rPr>
            <w:rFonts w:asciiTheme="minorHAnsi" w:eastAsiaTheme="minorEastAsia" w:hAnsiTheme="minorHAnsi" w:cstheme="minorBidi"/>
            <w:noProof/>
            <w:sz w:val="22"/>
            <w:szCs w:val="22"/>
          </w:rPr>
          <w:tab/>
        </w:r>
        <w:r w:rsidR="00C54939" w:rsidRPr="005C167B">
          <w:rPr>
            <w:rStyle w:val="Hypertextovodkaz"/>
            <w:noProof/>
          </w:rPr>
          <w:t>Náhrada při pracovní neschopnosti</w:t>
        </w:r>
        <w:r w:rsidR="00C54939">
          <w:rPr>
            <w:noProof/>
            <w:webHidden/>
          </w:rPr>
          <w:tab/>
        </w:r>
        <w:r w:rsidR="00C54939">
          <w:rPr>
            <w:noProof/>
            <w:webHidden/>
          </w:rPr>
          <w:fldChar w:fldCharType="begin"/>
        </w:r>
        <w:r w:rsidR="00C54939">
          <w:rPr>
            <w:noProof/>
            <w:webHidden/>
          </w:rPr>
          <w:instrText xml:space="preserve"> PAGEREF _Toc376422255 \h </w:instrText>
        </w:r>
        <w:r w:rsidR="00C54939">
          <w:rPr>
            <w:noProof/>
            <w:webHidden/>
          </w:rPr>
        </w:r>
        <w:r w:rsidR="00C54939">
          <w:rPr>
            <w:noProof/>
            <w:webHidden/>
          </w:rPr>
          <w:fldChar w:fldCharType="separate"/>
        </w:r>
        <w:r w:rsidR="00C54939">
          <w:rPr>
            <w:noProof/>
            <w:webHidden/>
          </w:rPr>
          <w:t>28</w:t>
        </w:r>
        <w:r w:rsidR="00C54939">
          <w:rPr>
            <w:noProof/>
            <w:webHidden/>
          </w:rPr>
          <w:fldChar w:fldCharType="end"/>
        </w:r>
      </w:hyperlink>
    </w:p>
    <w:p w:rsidR="00C54939" w:rsidRDefault="00EE7059">
      <w:pPr>
        <w:pStyle w:val="Obsah2"/>
        <w:tabs>
          <w:tab w:val="left" w:pos="800"/>
          <w:tab w:val="right" w:leader="dot" w:pos="9627"/>
        </w:tabs>
        <w:rPr>
          <w:rFonts w:asciiTheme="minorHAnsi" w:eastAsiaTheme="minorEastAsia" w:hAnsiTheme="minorHAnsi" w:cstheme="minorBidi"/>
          <w:noProof/>
          <w:sz w:val="22"/>
          <w:szCs w:val="22"/>
        </w:rPr>
      </w:pPr>
      <w:hyperlink w:anchor="_Toc376422256" w:history="1">
        <w:r w:rsidR="00C54939" w:rsidRPr="005C167B">
          <w:rPr>
            <w:rStyle w:val="Hypertextovodkaz"/>
            <w:noProof/>
          </w:rPr>
          <w:t>5.1</w:t>
        </w:r>
        <w:r w:rsidR="00C54939">
          <w:rPr>
            <w:rFonts w:asciiTheme="minorHAnsi" w:eastAsiaTheme="minorEastAsia" w:hAnsiTheme="minorHAnsi" w:cstheme="minorBidi"/>
            <w:noProof/>
            <w:sz w:val="22"/>
            <w:szCs w:val="22"/>
          </w:rPr>
          <w:tab/>
        </w:r>
        <w:r w:rsidR="00C54939" w:rsidRPr="005C167B">
          <w:rPr>
            <w:rStyle w:val="Hypertextovodkaz"/>
            <w:noProof/>
          </w:rPr>
          <w:t>Redukovaný průměrný výdělek</w:t>
        </w:r>
        <w:r w:rsidR="00C54939">
          <w:rPr>
            <w:noProof/>
            <w:webHidden/>
          </w:rPr>
          <w:tab/>
        </w:r>
        <w:r w:rsidR="00C54939">
          <w:rPr>
            <w:noProof/>
            <w:webHidden/>
          </w:rPr>
          <w:fldChar w:fldCharType="begin"/>
        </w:r>
        <w:r w:rsidR="00C54939">
          <w:rPr>
            <w:noProof/>
            <w:webHidden/>
          </w:rPr>
          <w:instrText xml:space="preserve"> PAGEREF _Toc376422256 \h </w:instrText>
        </w:r>
        <w:r w:rsidR="00C54939">
          <w:rPr>
            <w:noProof/>
            <w:webHidden/>
          </w:rPr>
        </w:r>
        <w:r w:rsidR="00C54939">
          <w:rPr>
            <w:noProof/>
            <w:webHidden/>
          </w:rPr>
          <w:fldChar w:fldCharType="separate"/>
        </w:r>
        <w:r w:rsidR="00C54939">
          <w:rPr>
            <w:noProof/>
            <w:webHidden/>
          </w:rPr>
          <w:t>28</w:t>
        </w:r>
        <w:r w:rsidR="00C54939">
          <w:rPr>
            <w:noProof/>
            <w:webHidden/>
          </w:rPr>
          <w:fldChar w:fldCharType="end"/>
        </w:r>
      </w:hyperlink>
    </w:p>
    <w:p w:rsidR="00C54939" w:rsidRDefault="00EE7059">
      <w:pPr>
        <w:pStyle w:val="Obsah2"/>
        <w:tabs>
          <w:tab w:val="left" w:pos="800"/>
          <w:tab w:val="right" w:leader="dot" w:pos="9627"/>
        </w:tabs>
        <w:rPr>
          <w:rFonts w:asciiTheme="minorHAnsi" w:eastAsiaTheme="minorEastAsia" w:hAnsiTheme="minorHAnsi" w:cstheme="minorBidi"/>
          <w:noProof/>
          <w:sz w:val="22"/>
          <w:szCs w:val="22"/>
        </w:rPr>
      </w:pPr>
      <w:hyperlink w:anchor="_Toc376422257" w:history="1">
        <w:r w:rsidR="00C54939" w:rsidRPr="005C167B">
          <w:rPr>
            <w:rStyle w:val="Hypertextovodkaz"/>
            <w:noProof/>
          </w:rPr>
          <w:t>5.2</w:t>
        </w:r>
        <w:r w:rsidR="00C54939">
          <w:rPr>
            <w:rFonts w:asciiTheme="minorHAnsi" w:eastAsiaTheme="minorEastAsia" w:hAnsiTheme="minorHAnsi" w:cstheme="minorBidi"/>
            <w:noProof/>
            <w:sz w:val="22"/>
            <w:szCs w:val="22"/>
          </w:rPr>
          <w:tab/>
        </w:r>
        <w:r w:rsidR="00C54939" w:rsidRPr="005C167B">
          <w:rPr>
            <w:rStyle w:val="Hypertextovodkaz"/>
            <w:noProof/>
          </w:rPr>
          <w:t>Nárok na náhradu mzdy</w:t>
        </w:r>
        <w:r w:rsidR="00C54939">
          <w:rPr>
            <w:noProof/>
            <w:webHidden/>
          </w:rPr>
          <w:tab/>
        </w:r>
        <w:r w:rsidR="00C54939">
          <w:rPr>
            <w:noProof/>
            <w:webHidden/>
          </w:rPr>
          <w:fldChar w:fldCharType="begin"/>
        </w:r>
        <w:r w:rsidR="00C54939">
          <w:rPr>
            <w:noProof/>
            <w:webHidden/>
          </w:rPr>
          <w:instrText xml:space="preserve"> PAGEREF _Toc376422257 \h </w:instrText>
        </w:r>
        <w:r w:rsidR="00C54939">
          <w:rPr>
            <w:noProof/>
            <w:webHidden/>
          </w:rPr>
        </w:r>
        <w:r w:rsidR="00C54939">
          <w:rPr>
            <w:noProof/>
            <w:webHidden/>
          </w:rPr>
          <w:fldChar w:fldCharType="separate"/>
        </w:r>
        <w:r w:rsidR="00C54939">
          <w:rPr>
            <w:noProof/>
            <w:webHidden/>
          </w:rPr>
          <w:t>29</w:t>
        </w:r>
        <w:r w:rsidR="00C54939">
          <w:rPr>
            <w:noProof/>
            <w:webHidden/>
          </w:rPr>
          <w:fldChar w:fldCharType="end"/>
        </w:r>
      </w:hyperlink>
    </w:p>
    <w:p w:rsidR="00C54939" w:rsidRDefault="00EE7059">
      <w:pPr>
        <w:pStyle w:val="Obsah2"/>
        <w:tabs>
          <w:tab w:val="left" w:pos="800"/>
          <w:tab w:val="right" w:leader="dot" w:pos="9627"/>
        </w:tabs>
        <w:rPr>
          <w:rFonts w:asciiTheme="minorHAnsi" w:eastAsiaTheme="minorEastAsia" w:hAnsiTheme="minorHAnsi" w:cstheme="minorBidi"/>
          <w:noProof/>
          <w:sz w:val="22"/>
          <w:szCs w:val="22"/>
        </w:rPr>
      </w:pPr>
      <w:hyperlink w:anchor="_Toc376422258" w:history="1">
        <w:r w:rsidR="00C54939" w:rsidRPr="005C167B">
          <w:rPr>
            <w:rStyle w:val="Hypertextovodkaz"/>
            <w:noProof/>
          </w:rPr>
          <w:t>5.3</w:t>
        </w:r>
        <w:r w:rsidR="00C54939">
          <w:rPr>
            <w:rFonts w:asciiTheme="minorHAnsi" w:eastAsiaTheme="minorEastAsia" w:hAnsiTheme="minorHAnsi" w:cstheme="minorBidi"/>
            <w:noProof/>
            <w:sz w:val="22"/>
            <w:szCs w:val="22"/>
          </w:rPr>
          <w:tab/>
        </w:r>
        <w:r w:rsidR="00C54939" w:rsidRPr="005C167B">
          <w:rPr>
            <w:rStyle w:val="Hypertextovodkaz"/>
            <w:noProof/>
          </w:rPr>
          <w:t>Výpočet náhrady mzdy</w:t>
        </w:r>
        <w:r w:rsidR="00C54939">
          <w:rPr>
            <w:noProof/>
            <w:webHidden/>
          </w:rPr>
          <w:tab/>
        </w:r>
        <w:r w:rsidR="00C54939">
          <w:rPr>
            <w:noProof/>
            <w:webHidden/>
          </w:rPr>
          <w:fldChar w:fldCharType="begin"/>
        </w:r>
        <w:r w:rsidR="00C54939">
          <w:rPr>
            <w:noProof/>
            <w:webHidden/>
          </w:rPr>
          <w:instrText xml:space="preserve"> PAGEREF _Toc376422258 \h </w:instrText>
        </w:r>
        <w:r w:rsidR="00C54939">
          <w:rPr>
            <w:noProof/>
            <w:webHidden/>
          </w:rPr>
        </w:r>
        <w:r w:rsidR="00C54939">
          <w:rPr>
            <w:noProof/>
            <w:webHidden/>
          </w:rPr>
          <w:fldChar w:fldCharType="separate"/>
        </w:r>
        <w:r w:rsidR="00C54939">
          <w:rPr>
            <w:noProof/>
            <w:webHidden/>
          </w:rPr>
          <w:t>29</w:t>
        </w:r>
        <w:r w:rsidR="00C54939">
          <w:rPr>
            <w:noProof/>
            <w:webHidden/>
          </w:rPr>
          <w:fldChar w:fldCharType="end"/>
        </w:r>
      </w:hyperlink>
    </w:p>
    <w:p w:rsidR="00C54939" w:rsidRDefault="00EE7059">
      <w:pPr>
        <w:pStyle w:val="Obsah3"/>
        <w:tabs>
          <w:tab w:val="right" w:leader="dot" w:pos="9627"/>
        </w:tabs>
        <w:rPr>
          <w:rFonts w:asciiTheme="minorHAnsi" w:eastAsiaTheme="minorEastAsia" w:hAnsiTheme="minorHAnsi" w:cstheme="minorBidi"/>
          <w:noProof/>
          <w:sz w:val="22"/>
          <w:szCs w:val="22"/>
        </w:rPr>
      </w:pPr>
      <w:hyperlink w:anchor="_Toc376422259" w:history="1">
        <w:r w:rsidR="00C54939" w:rsidRPr="005C167B">
          <w:rPr>
            <w:rStyle w:val="Hypertextovodkaz"/>
            <w:noProof/>
          </w:rPr>
          <w:t>4.3.1. Nadlimitní plnění</w:t>
        </w:r>
        <w:r w:rsidR="00C54939">
          <w:rPr>
            <w:noProof/>
            <w:webHidden/>
          </w:rPr>
          <w:tab/>
        </w:r>
        <w:r w:rsidR="00C54939">
          <w:rPr>
            <w:noProof/>
            <w:webHidden/>
          </w:rPr>
          <w:fldChar w:fldCharType="begin"/>
        </w:r>
        <w:r w:rsidR="00C54939">
          <w:rPr>
            <w:noProof/>
            <w:webHidden/>
          </w:rPr>
          <w:instrText xml:space="preserve"> PAGEREF _Toc376422259 \h </w:instrText>
        </w:r>
        <w:r w:rsidR="00C54939">
          <w:rPr>
            <w:noProof/>
            <w:webHidden/>
          </w:rPr>
        </w:r>
        <w:r w:rsidR="00C54939">
          <w:rPr>
            <w:noProof/>
            <w:webHidden/>
          </w:rPr>
          <w:fldChar w:fldCharType="separate"/>
        </w:r>
        <w:r w:rsidR="00C54939">
          <w:rPr>
            <w:noProof/>
            <w:webHidden/>
          </w:rPr>
          <w:t>29</w:t>
        </w:r>
        <w:r w:rsidR="00C54939">
          <w:rPr>
            <w:noProof/>
            <w:webHidden/>
          </w:rPr>
          <w:fldChar w:fldCharType="end"/>
        </w:r>
      </w:hyperlink>
    </w:p>
    <w:p w:rsidR="00C54939" w:rsidRDefault="00EE7059">
      <w:pPr>
        <w:pStyle w:val="Obsah3"/>
        <w:tabs>
          <w:tab w:val="right" w:leader="dot" w:pos="9627"/>
        </w:tabs>
        <w:rPr>
          <w:rFonts w:asciiTheme="minorHAnsi" w:eastAsiaTheme="minorEastAsia" w:hAnsiTheme="minorHAnsi" w:cstheme="minorBidi"/>
          <w:noProof/>
          <w:sz w:val="22"/>
          <w:szCs w:val="22"/>
        </w:rPr>
      </w:pPr>
      <w:hyperlink w:anchor="_Toc376422260" w:history="1">
        <w:r w:rsidR="00C54939" w:rsidRPr="005C167B">
          <w:rPr>
            <w:rStyle w:val="Hypertextovodkaz"/>
            <w:noProof/>
          </w:rPr>
          <w:t>4.3.2. Snížení odvodu na sociální pojištění</w:t>
        </w:r>
        <w:r w:rsidR="00C54939">
          <w:rPr>
            <w:noProof/>
            <w:webHidden/>
          </w:rPr>
          <w:tab/>
        </w:r>
        <w:r w:rsidR="00C54939">
          <w:rPr>
            <w:noProof/>
            <w:webHidden/>
          </w:rPr>
          <w:fldChar w:fldCharType="begin"/>
        </w:r>
        <w:r w:rsidR="00C54939">
          <w:rPr>
            <w:noProof/>
            <w:webHidden/>
          </w:rPr>
          <w:instrText xml:space="preserve"> PAGEREF _Toc376422260 \h </w:instrText>
        </w:r>
        <w:r w:rsidR="00C54939">
          <w:rPr>
            <w:noProof/>
            <w:webHidden/>
          </w:rPr>
        </w:r>
        <w:r w:rsidR="00C54939">
          <w:rPr>
            <w:noProof/>
            <w:webHidden/>
          </w:rPr>
          <w:fldChar w:fldCharType="separate"/>
        </w:r>
        <w:r w:rsidR="00C54939">
          <w:rPr>
            <w:noProof/>
            <w:webHidden/>
          </w:rPr>
          <w:t>30</w:t>
        </w:r>
        <w:r w:rsidR="00C54939">
          <w:rPr>
            <w:noProof/>
            <w:webHidden/>
          </w:rPr>
          <w:fldChar w:fldCharType="end"/>
        </w:r>
      </w:hyperlink>
    </w:p>
    <w:p w:rsidR="00C54939" w:rsidRDefault="00EE7059">
      <w:pPr>
        <w:pStyle w:val="Obsah3"/>
        <w:tabs>
          <w:tab w:val="right" w:leader="dot" w:pos="9627"/>
        </w:tabs>
        <w:rPr>
          <w:rFonts w:asciiTheme="minorHAnsi" w:eastAsiaTheme="minorEastAsia" w:hAnsiTheme="minorHAnsi" w:cstheme="minorBidi"/>
          <w:noProof/>
          <w:sz w:val="22"/>
          <w:szCs w:val="22"/>
        </w:rPr>
      </w:pPr>
      <w:hyperlink w:anchor="_Toc376422261" w:history="1">
        <w:r w:rsidR="00C54939" w:rsidRPr="005C167B">
          <w:rPr>
            <w:rStyle w:val="Hypertextovodkaz"/>
            <w:noProof/>
          </w:rPr>
          <w:t>4.3.3. Odvody daní, sociálního a zdravotního pojištění z náhrady</w:t>
        </w:r>
        <w:r w:rsidR="00C54939">
          <w:rPr>
            <w:noProof/>
            <w:webHidden/>
          </w:rPr>
          <w:tab/>
        </w:r>
        <w:r w:rsidR="00C54939">
          <w:rPr>
            <w:noProof/>
            <w:webHidden/>
          </w:rPr>
          <w:fldChar w:fldCharType="begin"/>
        </w:r>
        <w:r w:rsidR="00C54939">
          <w:rPr>
            <w:noProof/>
            <w:webHidden/>
          </w:rPr>
          <w:instrText xml:space="preserve"> PAGEREF _Toc376422261 \h </w:instrText>
        </w:r>
        <w:r w:rsidR="00C54939">
          <w:rPr>
            <w:noProof/>
            <w:webHidden/>
          </w:rPr>
        </w:r>
        <w:r w:rsidR="00C54939">
          <w:rPr>
            <w:noProof/>
            <w:webHidden/>
          </w:rPr>
          <w:fldChar w:fldCharType="separate"/>
        </w:r>
        <w:r w:rsidR="00C54939">
          <w:rPr>
            <w:noProof/>
            <w:webHidden/>
          </w:rPr>
          <w:t>30</w:t>
        </w:r>
        <w:r w:rsidR="00C54939">
          <w:rPr>
            <w:noProof/>
            <w:webHidden/>
          </w:rPr>
          <w:fldChar w:fldCharType="end"/>
        </w:r>
      </w:hyperlink>
    </w:p>
    <w:p w:rsidR="00C54939" w:rsidRDefault="00EE7059">
      <w:pPr>
        <w:pStyle w:val="Obsah2"/>
        <w:tabs>
          <w:tab w:val="left" w:pos="800"/>
          <w:tab w:val="right" w:leader="dot" w:pos="9627"/>
        </w:tabs>
        <w:rPr>
          <w:rFonts w:asciiTheme="minorHAnsi" w:eastAsiaTheme="minorEastAsia" w:hAnsiTheme="minorHAnsi" w:cstheme="minorBidi"/>
          <w:noProof/>
          <w:sz w:val="22"/>
          <w:szCs w:val="22"/>
        </w:rPr>
      </w:pPr>
      <w:hyperlink w:anchor="_Toc376422262" w:history="1">
        <w:r w:rsidR="00C54939" w:rsidRPr="005C167B">
          <w:rPr>
            <w:rStyle w:val="Hypertextovodkaz"/>
            <w:noProof/>
          </w:rPr>
          <w:t>5.4</w:t>
        </w:r>
        <w:r w:rsidR="00C54939">
          <w:rPr>
            <w:rFonts w:asciiTheme="minorHAnsi" w:eastAsiaTheme="minorEastAsia" w:hAnsiTheme="minorHAnsi" w:cstheme="minorBidi"/>
            <w:noProof/>
            <w:sz w:val="22"/>
            <w:szCs w:val="22"/>
          </w:rPr>
          <w:tab/>
        </w:r>
        <w:r w:rsidR="00C54939" w:rsidRPr="005C167B">
          <w:rPr>
            <w:rStyle w:val="Hypertextovodkaz"/>
            <w:noProof/>
          </w:rPr>
          <w:t>Z hlediska Heliosu Orange</w:t>
        </w:r>
        <w:r w:rsidR="00C54939">
          <w:rPr>
            <w:noProof/>
            <w:webHidden/>
          </w:rPr>
          <w:tab/>
        </w:r>
        <w:r w:rsidR="00C54939">
          <w:rPr>
            <w:noProof/>
            <w:webHidden/>
          </w:rPr>
          <w:fldChar w:fldCharType="begin"/>
        </w:r>
        <w:r w:rsidR="00C54939">
          <w:rPr>
            <w:noProof/>
            <w:webHidden/>
          </w:rPr>
          <w:instrText xml:space="preserve"> PAGEREF _Toc376422262 \h </w:instrText>
        </w:r>
        <w:r w:rsidR="00C54939">
          <w:rPr>
            <w:noProof/>
            <w:webHidden/>
          </w:rPr>
        </w:r>
        <w:r w:rsidR="00C54939">
          <w:rPr>
            <w:noProof/>
            <w:webHidden/>
          </w:rPr>
          <w:fldChar w:fldCharType="separate"/>
        </w:r>
        <w:r w:rsidR="00C54939">
          <w:rPr>
            <w:noProof/>
            <w:webHidden/>
          </w:rPr>
          <w:t>31</w:t>
        </w:r>
        <w:r w:rsidR="00C54939">
          <w:rPr>
            <w:noProof/>
            <w:webHidden/>
          </w:rPr>
          <w:fldChar w:fldCharType="end"/>
        </w:r>
      </w:hyperlink>
    </w:p>
    <w:p w:rsidR="00C54939" w:rsidRDefault="00EE7059">
      <w:pPr>
        <w:pStyle w:val="Obsah3"/>
        <w:tabs>
          <w:tab w:val="right" w:leader="dot" w:pos="9627"/>
        </w:tabs>
        <w:rPr>
          <w:rFonts w:asciiTheme="minorHAnsi" w:eastAsiaTheme="minorEastAsia" w:hAnsiTheme="minorHAnsi" w:cstheme="minorBidi"/>
          <w:noProof/>
          <w:sz w:val="22"/>
          <w:szCs w:val="22"/>
        </w:rPr>
      </w:pPr>
      <w:hyperlink w:anchor="_Toc376422263" w:history="1">
        <w:r w:rsidR="00C54939" w:rsidRPr="005C167B">
          <w:rPr>
            <w:rStyle w:val="Hypertextovodkaz"/>
            <w:noProof/>
          </w:rPr>
          <w:t>4.5.3. Konstanty týkající se výpočtu náhrad</w:t>
        </w:r>
        <w:r w:rsidR="00C54939">
          <w:rPr>
            <w:noProof/>
            <w:webHidden/>
          </w:rPr>
          <w:tab/>
        </w:r>
        <w:r w:rsidR="00C54939">
          <w:rPr>
            <w:noProof/>
            <w:webHidden/>
          </w:rPr>
          <w:fldChar w:fldCharType="begin"/>
        </w:r>
        <w:r w:rsidR="00C54939">
          <w:rPr>
            <w:noProof/>
            <w:webHidden/>
          </w:rPr>
          <w:instrText xml:space="preserve"> PAGEREF _Toc376422263 \h </w:instrText>
        </w:r>
        <w:r w:rsidR="00C54939">
          <w:rPr>
            <w:noProof/>
            <w:webHidden/>
          </w:rPr>
        </w:r>
        <w:r w:rsidR="00C54939">
          <w:rPr>
            <w:noProof/>
            <w:webHidden/>
          </w:rPr>
          <w:fldChar w:fldCharType="separate"/>
        </w:r>
        <w:r w:rsidR="00C54939">
          <w:rPr>
            <w:noProof/>
            <w:webHidden/>
          </w:rPr>
          <w:t>31</w:t>
        </w:r>
        <w:r w:rsidR="00C54939">
          <w:rPr>
            <w:noProof/>
            <w:webHidden/>
          </w:rPr>
          <w:fldChar w:fldCharType="end"/>
        </w:r>
      </w:hyperlink>
    </w:p>
    <w:p w:rsidR="00C54939" w:rsidRDefault="00EE7059">
      <w:pPr>
        <w:pStyle w:val="Obsah1"/>
        <w:tabs>
          <w:tab w:val="left" w:pos="400"/>
          <w:tab w:val="right" w:leader="dot" w:pos="9627"/>
        </w:tabs>
        <w:rPr>
          <w:rFonts w:asciiTheme="minorHAnsi" w:eastAsiaTheme="minorEastAsia" w:hAnsiTheme="minorHAnsi" w:cstheme="minorBidi"/>
          <w:noProof/>
          <w:sz w:val="22"/>
          <w:szCs w:val="22"/>
        </w:rPr>
      </w:pPr>
      <w:hyperlink w:anchor="_Toc376422264" w:history="1">
        <w:r w:rsidR="00C54939" w:rsidRPr="005C167B">
          <w:rPr>
            <w:rStyle w:val="Hypertextovodkaz"/>
            <w:iCs/>
            <w:noProof/>
          </w:rPr>
          <w:t>6</w:t>
        </w:r>
        <w:r w:rsidR="00C54939">
          <w:rPr>
            <w:rFonts w:asciiTheme="minorHAnsi" w:eastAsiaTheme="minorEastAsia" w:hAnsiTheme="minorHAnsi" w:cstheme="minorBidi"/>
            <w:noProof/>
            <w:sz w:val="22"/>
            <w:szCs w:val="22"/>
          </w:rPr>
          <w:tab/>
        </w:r>
        <w:r w:rsidR="00C54939" w:rsidRPr="005C167B">
          <w:rPr>
            <w:rStyle w:val="Hypertextovodkaz"/>
            <w:iCs/>
            <w:noProof/>
          </w:rPr>
          <w:t>Zdravotní pojištění od roku 2014</w:t>
        </w:r>
        <w:r w:rsidR="00C54939">
          <w:rPr>
            <w:noProof/>
            <w:webHidden/>
          </w:rPr>
          <w:tab/>
        </w:r>
        <w:r w:rsidR="00C54939">
          <w:rPr>
            <w:noProof/>
            <w:webHidden/>
          </w:rPr>
          <w:fldChar w:fldCharType="begin"/>
        </w:r>
        <w:r w:rsidR="00C54939">
          <w:rPr>
            <w:noProof/>
            <w:webHidden/>
          </w:rPr>
          <w:instrText xml:space="preserve"> PAGEREF _Toc376422264 \h </w:instrText>
        </w:r>
        <w:r w:rsidR="00C54939">
          <w:rPr>
            <w:noProof/>
            <w:webHidden/>
          </w:rPr>
        </w:r>
        <w:r w:rsidR="00C54939">
          <w:rPr>
            <w:noProof/>
            <w:webHidden/>
          </w:rPr>
          <w:fldChar w:fldCharType="separate"/>
        </w:r>
        <w:r w:rsidR="00C54939">
          <w:rPr>
            <w:noProof/>
            <w:webHidden/>
          </w:rPr>
          <w:t>32</w:t>
        </w:r>
        <w:r w:rsidR="00C54939">
          <w:rPr>
            <w:noProof/>
            <w:webHidden/>
          </w:rPr>
          <w:fldChar w:fldCharType="end"/>
        </w:r>
      </w:hyperlink>
    </w:p>
    <w:p w:rsidR="00C54939" w:rsidRDefault="00EE7059">
      <w:pPr>
        <w:pStyle w:val="Obsah2"/>
        <w:tabs>
          <w:tab w:val="left" w:pos="800"/>
          <w:tab w:val="right" w:leader="dot" w:pos="9627"/>
        </w:tabs>
        <w:rPr>
          <w:rFonts w:asciiTheme="minorHAnsi" w:eastAsiaTheme="minorEastAsia" w:hAnsiTheme="minorHAnsi" w:cstheme="minorBidi"/>
          <w:noProof/>
          <w:sz w:val="22"/>
          <w:szCs w:val="22"/>
        </w:rPr>
      </w:pPr>
      <w:hyperlink w:anchor="_Toc376422265" w:history="1">
        <w:r w:rsidR="00C54939" w:rsidRPr="005C167B">
          <w:rPr>
            <w:rStyle w:val="Hypertextovodkaz"/>
            <w:noProof/>
          </w:rPr>
          <w:t>6.1</w:t>
        </w:r>
        <w:r w:rsidR="00C54939">
          <w:rPr>
            <w:rFonts w:asciiTheme="minorHAnsi" w:eastAsiaTheme="minorEastAsia" w:hAnsiTheme="minorHAnsi" w:cstheme="minorBidi"/>
            <w:noProof/>
            <w:sz w:val="22"/>
            <w:szCs w:val="22"/>
          </w:rPr>
          <w:tab/>
        </w:r>
        <w:r w:rsidR="00C54939" w:rsidRPr="005C167B">
          <w:rPr>
            <w:rStyle w:val="Hypertextovodkaz"/>
            <w:noProof/>
          </w:rPr>
          <w:t>Odvod pojistného</w:t>
        </w:r>
        <w:r w:rsidR="00C54939">
          <w:rPr>
            <w:noProof/>
            <w:webHidden/>
          </w:rPr>
          <w:tab/>
        </w:r>
        <w:r w:rsidR="00C54939">
          <w:rPr>
            <w:noProof/>
            <w:webHidden/>
          </w:rPr>
          <w:fldChar w:fldCharType="begin"/>
        </w:r>
        <w:r w:rsidR="00C54939">
          <w:rPr>
            <w:noProof/>
            <w:webHidden/>
          </w:rPr>
          <w:instrText xml:space="preserve"> PAGEREF _Toc376422265 \h </w:instrText>
        </w:r>
        <w:r w:rsidR="00C54939">
          <w:rPr>
            <w:noProof/>
            <w:webHidden/>
          </w:rPr>
        </w:r>
        <w:r w:rsidR="00C54939">
          <w:rPr>
            <w:noProof/>
            <w:webHidden/>
          </w:rPr>
          <w:fldChar w:fldCharType="separate"/>
        </w:r>
        <w:r w:rsidR="00C54939">
          <w:rPr>
            <w:noProof/>
            <w:webHidden/>
          </w:rPr>
          <w:t>32</w:t>
        </w:r>
        <w:r w:rsidR="00C54939">
          <w:rPr>
            <w:noProof/>
            <w:webHidden/>
          </w:rPr>
          <w:fldChar w:fldCharType="end"/>
        </w:r>
      </w:hyperlink>
    </w:p>
    <w:p w:rsidR="00C54939" w:rsidRDefault="00EE7059">
      <w:pPr>
        <w:pStyle w:val="Obsah2"/>
        <w:tabs>
          <w:tab w:val="left" w:pos="800"/>
          <w:tab w:val="right" w:leader="dot" w:pos="9627"/>
        </w:tabs>
        <w:rPr>
          <w:rFonts w:asciiTheme="minorHAnsi" w:eastAsiaTheme="minorEastAsia" w:hAnsiTheme="minorHAnsi" w:cstheme="minorBidi"/>
          <w:noProof/>
          <w:sz w:val="22"/>
          <w:szCs w:val="22"/>
        </w:rPr>
      </w:pPr>
      <w:hyperlink w:anchor="_Toc376422266" w:history="1">
        <w:r w:rsidR="00C54939" w:rsidRPr="005C167B">
          <w:rPr>
            <w:rStyle w:val="Hypertextovodkaz"/>
            <w:noProof/>
          </w:rPr>
          <w:t>6.2</w:t>
        </w:r>
        <w:r w:rsidR="00C54939">
          <w:rPr>
            <w:rFonts w:asciiTheme="minorHAnsi" w:eastAsiaTheme="minorEastAsia" w:hAnsiTheme="minorHAnsi" w:cstheme="minorBidi"/>
            <w:noProof/>
            <w:sz w:val="22"/>
            <w:szCs w:val="22"/>
          </w:rPr>
          <w:tab/>
        </w:r>
        <w:r w:rsidR="00C54939" w:rsidRPr="005C167B">
          <w:rPr>
            <w:rStyle w:val="Hypertextovodkaz"/>
            <w:noProof/>
          </w:rPr>
          <w:t>Maximální vyměřovací základ</w:t>
        </w:r>
        <w:r w:rsidR="00C54939">
          <w:rPr>
            <w:noProof/>
            <w:webHidden/>
          </w:rPr>
          <w:tab/>
        </w:r>
        <w:r w:rsidR="00C54939">
          <w:rPr>
            <w:noProof/>
            <w:webHidden/>
          </w:rPr>
          <w:fldChar w:fldCharType="begin"/>
        </w:r>
        <w:r w:rsidR="00C54939">
          <w:rPr>
            <w:noProof/>
            <w:webHidden/>
          </w:rPr>
          <w:instrText xml:space="preserve"> PAGEREF _Toc376422266 \h </w:instrText>
        </w:r>
        <w:r w:rsidR="00C54939">
          <w:rPr>
            <w:noProof/>
            <w:webHidden/>
          </w:rPr>
        </w:r>
        <w:r w:rsidR="00C54939">
          <w:rPr>
            <w:noProof/>
            <w:webHidden/>
          </w:rPr>
          <w:fldChar w:fldCharType="separate"/>
        </w:r>
        <w:r w:rsidR="00C54939">
          <w:rPr>
            <w:noProof/>
            <w:webHidden/>
          </w:rPr>
          <w:t>32</w:t>
        </w:r>
        <w:r w:rsidR="00C54939">
          <w:rPr>
            <w:noProof/>
            <w:webHidden/>
          </w:rPr>
          <w:fldChar w:fldCharType="end"/>
        </w:r>
      </w:hyperlink>
    </w:p>
    <w:p w:rsidR="00C54939" w:rsidRDefault="00EE7059">
      <w:pPr>
        <w:pStyle w:val="Obsah2"/>
        <w:tabs>
          <w:tab w:val="left" w:pos="800"/>
          <w:tab w:val="right" w:leader="dot" w:pos="9627"/>
        </w:tabs>
        <w:rPr>
          <w:rFonts w:asciiTheme="minorHAnsi" w:eastAsiaTheme="minorEastAsia" w:hAnsiTheme="minorHAnsi" w:cstheme="minorBidi"/>
          <w:noProof/>
          <w:sz w:val="22"/>
          <w:szCs w:val="22"/>
        </w:rPr>
      </w:pPr>
      <w:hyperlink w:anchor="_Toc376422267" w:history="1">
        <w:r w:rsidR="00C54939" w:rsidRPr="005C167B">
          <w:rPr>
            <w:rStyle w:val="Hypertextovodkaz"/>
            <w:noProof/>
          </w:rPr>
          <w:t>6.3</w:t>
        </w:r>
        <w:r w:rsidR="00C54939">
          <w:rPr>
            <w:rFonts w:asciiTheme="minorHAnsi" w:eastAsiaTheme="minorEastAsia" w:hAnsiTheme="minorHAnsi" w:cstheme="minorBidi"/>
            <w:noProof/>
            <w:sz w:val="22"/>
            <w:szCs w:val="22"/>
          </w:rPr>
          <w:tab/>
        </w:r>
        <w:r w:rsidR="00C54939" w:rsidRPr="005C167B">
          <w:rPr>
            <w:rStyle w:val="Hypertextovodkaz"/>
            <w:noProof/>
          </w:rPr>
          <w:t>Plátce pojištění stát</w:t>
        </w:r>
        <w:r w:rsidR="00C54939">
          <w:rPr>
            <w:noProof/>
            <w:webHidden/>
          </w:rPr>
          <w:tab/>
        </w:r>
        <w:r w:rsidR="00C54939">
          <w:rPr>
            <w:noProof/>
            <w:webHidden/>
          </w:rPr>
          <w:fldChar w:fldCharType="begin"/>
        </w:r>
        <w:r w:rsidR="00C54939">
          <w:rPr>
            <w:noProof/>
            <w:webHidden/>
          </w:rPr>
          <w:instrText xml:space="preserve"> PAGEREF _Toc376422267 \h </w:instrText>
        </w:r>
        <w:r w:rsidR="00C54939">
          <w:rPr>
            <w:noProof/>
            <w:webHidden/>
          </w:rPr>
        </w:r>
        <w:r w:rsidR="00C54939">
          <w:rPr>
            <w:noProof/>
            <w:webHidden/>
          </w:rPr>
          <w:fldChar w:fldCharType="separate"/>
        </w:r>
        <w:r w:rsidR="00C54939">
          <w:rPr>
            <w:noProof/>
            <w:webHidden/>
          </w:rPr>
          <w:t>32</w:t>
        </w:r>
        <w:r w:rsidR="00C54939">
          <w:rPr>
            <w:noProof/>
            <w:webHidden/>
          </w:rPr>
          <w:fldChar w:fldCharType="end"/>
        </w:r>
      </w:hyperlink>
    </w:p>
    <w:p w:rsidR="00C54939" w:rsidRDefault="00EE7059">
      <w:pPr>
        <w:pStyle w:val="Obsah2"/>
        <w:tabs>
          <w:tab w:val="left" w:pos="800"/>
          <w:tab w:val="right" w:leader="dot" w:pos="9627"/>
        </w:tabs>
        <w:rPr>
          <w:rFonts w:asciiTheme="minorHAnsi" w:eastAsiaTheme="minorEastAsia" w:hAnsiTheme="minorHAnsi" w:cstheme="minorBidi"/>
          <w:noProof/>
          <w:sz w:val="22"/>
          <w:szCs w:val="22"/>
        </w:rPr>
      </w:pPr>
      <w:hyperlink w:anchor="_Toc376422268" w:history="1">
        <w:r w:rsidR="00C54939" w:rsidRPr="005C167B">
          <w:rPr>
            <w:rStyle w:val="Hypertextovodkaz"/>
            <w:noProof/>
          </w:rPr>
          <w:t>6.4</w:t>
        </w:r>
        <w:r w:rsidR="00C54939">
          <w:rPr>
            <w:rFonts w:asciiTheme="minorHAnsi" w:eastAsiaTheme="minorEastAsia" w:hAnsiTheme="minorHAnsi" w:cstheme="minorBidi"/>
            <w:noProof/>
            <w:sz w:val="22"/>
            <w:szCs w:val="22"/>
          </w:rPr>
          <w:tab/>
        </w:r>
        <w:r w:rsidR="00C54939" w:rsidRPr="005C167B">
          <w:rPr>
            <w:rStyle w:val="Hypertextovodkaz"/>
            <w:noProof/>
          </w:rPr>
          <w:t>Zaměstnání malého rozsahu</w:t>
        </w:r>
        <w:r w:rsidR="00C54939">
          <w:rPr>
            <w:noProof/>
            <w:webHidden/>
          </w:rPr>
          <w:tab/>
        </w:r>
        <w:r w:rsidR="00C54939">
          <w:rPr>
            <w:noProof/>
            <w:webHidden/>
          </w:rPr>
          <w:fldChar w:fldCharType="begin"/>
        </w:r>
        <w:r w:rsidR="00C54939">
          <w:rPr>
            <w:noProof/>
            <w:webHidden/>
          </w:rPr>
          <w:instrText xml:space="preserve"> PAGEREF _Toc376422268 \h </w:instrText>
        </w:r>
        <w:r w:rsidR="00C54939">
          <w:rPr>
            <w:noProof/>
            <w:webHidden/>
          </w:rPr>
        </w:r>
        <w:r w:rsidR="00C54939">
          <w:rPr>
            <w:noProof/>
            <w:webHidden/>
          </w:rPr>
          <w:fldChar w:fldCharType="separate"/>
        </w:r>
        <w:r w:rsidR="00C54939">
          <w:rPr>
            <w:noProof/>
            <w:webHidden/>
          </w:rPr>
          <w:t>32</w:t>
        </w:r>
        <w:r w:rsidR="00C54939">
          <w:rPr>
            <w:noProof/>
            <w:webHidden/>
          </w:rPr>
          <w:fldChar w:fldCharType="end"/>
        </w:r>
      </w:hyperlink>
    </w:p>
    <w:p w:rsidR="00C54939" w:rsidRDefault="00EE7059">
      <w:pPr>
        <w:pStyle w:val="Obsah2"/>
        <w:tabs>
          <w:tab w:val="left" w:pos="800"/>
          <w:tab w:val="right" w:leader="dot" w:pos="9627"/>
        </w:tabs>
        <w:rPr>
          <w:rFonts w:asciiTheme="minorHAnsi" w:eastAsiaTheme="minorEastAsia" w:hAnsiTheme="minorHAnsi" w:cstheme="minorBidi"/>
          <w:noProof/>
          <w:sz w:val="22"/>
          <w:szCs w:val="22"/>
        </w:rPr>
      </w:pPr>
      <w:hyperlink w:anchor="_Toc376422269" w:history="1">
        <w:r w:rsidR="00C54939" w:rsidRPr="005C167B">
          <w:rPr>
            <w:rStyle w:val="Hypertextovodkaz"/>
            <w:noProof/>
          </w:rPr>
          <w:t>6.5</w:t>
        </w:r>
        <w:r w:rsidR="00C54939">
          <w:rPr>
            <w:rFonts w:asciiTheme="minorHAnsi" w:eastAsiaTheme="minorEastAsia" w:hAnsiTheme="minorHAnsi" w:cstheme="minorBidi"/>
            <w:noProof/>
            <w:sz w:val="22"/>
            <w:szCs w:val="22"/>
          </w:rPr>
          <w:tab/>
        </w:r>
        <w:r w:rsidR="00C54939" w:rsidRPr="005C167B">
          <w:rPr>
            <w:rStyle w:val="Hypertextovodkaz"/>
            <w:noProof/>
          </w:rPr>
          <w:t>Z hlediska programu Helios Orange</w:t>
        </w:r>
        <w:r w:rsidR="00C54939">
          <w:rPr>
            <w:noProof/>
            <w:webHidden/>
          </w:rPr>
          <w:tab/>
        </w:r>
        <w:r w:rsidR="00C54939">
          <w:rPr>
            <w:noProof/>
            <w:webHidden/>
          </w:rPr>
          <w:fldChar w:fldCharType="begin"/>
        </w:r>
        <w:r w:rsidR="00C54939">
          <w:rPr>
            <w:noProof/>
            <w:webHidden/>
          </w:rPr>
          <w:instrText xml:space="preserve"> PAGEREF _Toc376422269 \h </w:instrText>
        </w:r>
        <w:r w:rsidR="00C54939">
          <w:rPr>
            <w:noProof/>
            <w:webHidden/>
          </w:rPr>
        </w:r>
        <w:r w:rsidR="00C54939">
          <w:rPr>
            <w:noProof/>
            <w:webHidden/>
          </w:rPr>
          <w:fldChar w:fldCharType="separate"/>
        </w:r>
        <w:r w:rsidR="00C54939">
          <w:rPr>
            <w:noProof/>
            <w:webHidden/>
          </w:rPr>
          <w:t>33</w:t>
        </w:r>
        <w:r w:rsidR="00C54939">
          <w:rPr>
            <w:noProof/>
            <w:webHidden/>
          </w:rPr>
          <w:fldChar w:fldCharType="end"/>
        </w:r>
      </w:hyperlink>
    </w:p>
    <w:p w:rsidR="00C54939" w:rsidRDefault="00EE7059">
      <w:pPr>
        <w:pStyle w:val="Obsah1"/>
        <w:tabs>
          <w:tab w:val="left" w:pos="400"/>
          <w:tab w:val="right" w:leader="dot" w:pos="9627"/>
        </w:tabs>
        <w:rPr>
          <w:rFonts w:asciiTheme="minorHAnsi" w:eastAsiaTheme="minorEastAsia" w:hAnsiTheme="minorHAnsi" w:cstheme="minorBidi"/>
          <w:noProof/>
          <w:sz w:val="22"/>
          <w:szCs w:val="22"/>
        </w:rPr>
      </w:pPr>
      <w:hyperlink w:anchor="_Toc376422270" w:history="1">
        <w:r w:rsidR="00C54939" w:rsidRPr="005C167B">
          <w:rPr>
            <w:rStyle w:val="Hypertextovodkaz"/>
            <w:iCs/>
            <w:noProof/>
          </w:rPr>
          <w:t>7</w:t>
        </w:r>
        <w:r w:rsidR="00C54939">
          <w:rPr>
            <w:rFonts w:asciiTheme="minorHAnsi" w:eastAsiaTheme="minorEastAsia" w:hAnsiTheme="minorHAnsi" w:cstheme="minorBidi"/>
            <w:noProof/>
            <w:sz w:val="22"/>
            <w:szCs w:val="22"/>
          </w:rPr>
          <w:tab/>
        </w:r>
        <w:r w:rsidR="00C54939" w:rsidRPr="005C167B">
          <w:rPr>
            <w:rStyle w:val="Hypertextovodkaz"/>
            <w:iCs/>
            <w:noProof/>
          </w:rPr>
          <w:t>Daně od roku 2014</w:t>
        </w:r>
        <w:r w:rsidR="00C54939">
          <w:rPr>
            <w:noProof/>
            <w:webHidden/>
          </w:rPr>
          <w:tab/>
        </w:r>
        <w:r w:rsidR="00C54939">
          <w:rPr>
            <w:noProof/>
            <w:webHidden/>
          </w:rPr>
          <w:fldChar w:fldCharType="begin"/>
        </w:r>
        <w:r w:rsidR="00C54939">
          <w:rPr>
            <w:noProof/>
            <w:webHidden/>
          </w:rPr>
          <w:instrText xml:space="preserve"> PAGEREF _Toc376422270 \h </w:instrText>
        </w:r>
        <w:r w:rsidR="00C54939">
          <w:rPr>
            <w:noProof/>
            <w:webHidden/>
          </w:rPr>
        </w:r>
        <w:r w:rsidR="00C54939">
          <w:rPr>
            <w:noProof/>
            <w:webHidden/>
          </w:rPr>
          <w:fldChar w:fldCharType="separate"/>
        </w:r>
        <w:r w:rsidR="00C54939">
          <w:rPr>
            <w:noProof/>
            <w:webHidden/>
          </w:rPr>
          <w:t>34</w:t>
        </w:r>
        <w:r w:rsidR="00C54939">
          <w:rPr>
            <w:noProof/>
            <w:webHidden/>
          </w:rPr>
          <w:fldChar w:fldCharType="end"/>
        </w:r>
      </w:hyperlink>
    </w:p>
    <w:p w:rsidR="00C54939" w:rsidRDefault="00EE7059">
      <w:pPr>
        <w:pStyle w:val="Obsah2"/>
        <w:tabs>
          <w:tab w:val="left" w:pos="800"/>
          <w:tab w:val="right" w:leader="dot" w:pos="9627"/>
        </w:tabs>
        <w:rPr>
          <w:rFonts w:asciiTheme="minorHAnsi" w:eastAsiaTheme="minorEastAsia" w:hAnsiTheme="minorHAnsi" w:cstheme="minorBidi"/>
          <w:noProof/>
          <w:sz w:val="22"/>
          <w:szCs w:val="22"/>
        </w:rPr>
      </w:pPr>
      <w:hyperlink w:anchor="_Toc376422271" w:history="1">
        <w:r w:rsidR="00C54939" w:rsidRPr="005C167B">
          <w:rPr>
            <w:rStyle w:val="Hypertextovodkaz"/>
            <w:noProof/>
          </w:rPr>
          <w:t>7.1</w:t>
        </w:r>
        <w:r w:rsidR="00C54939">
          <w:rPr>
            <w:rFonts w:asciiTheme="minorHAnsi" w:eastAsiaTheme="minorEastAsia" w:hAnsiTheme="minorHAnsi" w:cstheme="minorBidi"/>
            <w:noProof/>
            <w:sz w:val="22"/>
            <w:szCs w:val="22"/>
          </w:rPr>
          <w:tab/>
        </w:r>
        <w:r w:rsidR="00C54939" w:rsidRPr="005C167B">
          <w:rPr>
            <w:rStyle w:val="Hypertextovodkaz"/>
            <w:noProof/>
          </w:rPr>
          <w:t>Sazba daně</w:t>
        </w:r>
        <w:r w:rsidR="00C54939">
          <w:rPr>
            <w:noProof/>
            <w:webHidden/>
          </w:rPr>
          <w:tab/>
        </w:r>
        <w:r w:rsidR="00C54939">
          <w:rPr>
            <w:noProof/>
            <w:webHidden/>
          </w:rPr>
          <w:fldChar w:fldCharType="begin"/>
        </w:r>
        <w:r w:rsidR="00C54939">
          <w:rPr>
            <w:noProof/>
            <w:webHidden/>
          </w:rPr>
          <w:instrText xml:space="preserve"> PAGEREF _Toc376422271 \h </w:instrText>
        </w:r>
        <w:r w:rsidR="00C54939">
          <w:rPr>
            <w:noProof/>
            <w:webHidden/>
          </w:rPr>
        </w:r>
        <w:r w:rsidR="00C54939">
          <w:rPr>
            <w:noProof/>
            <w:webHidden/>
          </w:rPr>
          <w:fldChar w:fldCharType="separate"/>
        </w:r>
        <w:r w:rsidR="00C54939">
          <w:rPr>
            <w:noProof/>
            <w:webHidden/>
          </w:rPr>
          <w:t>34</w:t>
        </w:r>
        <w:r w:rsidR="00C54939">
          <w:rPr>
            <w:noProof/>
            <w:webHidden/>
          </w:rPr>
          <w:fldChar w:fldCharType="end"/>
        </w:r>
      </w:hyperlink>
    </w:p>
    <w:p w:rsidR="00C54939" w:rsidRDefault="00EE7059">
      <w:pPr>
        <w:pStyle w:val="Obsah2"/>
        <w:tabs>
          <w:tab w:val="left" w:pos="800"/>
          <w:tab w:val="right" w:leader="dot" w:pos="9627"/>
        </w:tabs>
        <w:rPr>
          <w:rFonts w:asciiTheme="minorHAnsi" w:eastAsiaTheme="minorEastAsia" w:hAnsiTheme="minorHAnsi" w:cstheme="minorBidi"/>
          <w:noProof/>
          <w:sz w:val="22"/>
          <w:szCs w:val="22"/>
        </w:rPr>
      </w:pPr>
      <w:hyperlink w:anchor="_Toc376422272" w:history="1">
        <w:r w:rsidR="00C54939" w:rsidRPr="005C167B">
          <w:rPr>
            <w:rStyle w:val="Hypertextovodkaz"/>
            <w:noProof/>
          </w:rPr>
          <w:t>7.2</w:t>
        </w:r>
        <w:r w:rsidR="00C54939">
          <w:rPr>
            <w:rFonts w:asciiTheme="minorHAnsi" w:eastAsiaTheme="minorEastAsia" w:hAnsiTheme="minorHAnsi" w:cstheme="minorBidi"/>
            <w:noProof/>
            <w:sz w:val="22"/>
            <w:szCs w:val="22"/>
          </w:rPr>
          <w:tab/>
        </w:r>
        <w:r w:rsidR="00C54939" w:rsidRPr="005C167B">
          <w:rPr>
            <w:rStyle w:val="Hypertextovodkaz"/>
            <w:noProof/>
          </w:rPr>
          <w:t>Sleva na dani a daňové zvýhodnění</w:t>
        </w:r>
        <w:r w:rsidR="00C54939">
          <w:rPr>
            <w:noProof/>
            <w:webHidden/>
          </w:rPr>
          <w:tab/>
        </w:r>
        <w:r w:rsidR="00C54939">
          <w:rPr>
            <w:noProof/>
            <w:webHidden/>
          </w:rPr>
          <w:fldChar w:fldCharType="begin"/>
        </w:r>
        <w:r w:rsidR="00C54939">
          <w:rPr>
            <w:noProof/>
            <w:webHidden/>
          </w:rPr>
          <w:instrText xml:space="preserve"> PAGEREF _Toc376422272 \h </w:instrText>
        </w:r>
        <w:r w:rsidR="00C54939">
          <w:rPr>
            <w:noProof/>
            <w:webHidden/>
          </w:rPr>
        </w:r>
        <w:r w:rsidR="00C54939">
          <w:rPr>
            <w:noProof/>
            <w:webHidden/>
          </w:rPr>
          <w:fldChar w:fldCharType="separate"/>
        </w:r>
        <w:r w:rsidR="00C54939">
          <w:rPr>
            <w:noProof/>
            <w:webHidden/>
          </w:rPr>
          <w:t>34</w:t>
        </w:r>
        <w:r w:rsidR="00C54939">
          <w:rPr>
            <w:noProof/>
            <w:webHidden/>
          </w:rPr>
          <w:fldChar w:fldCharType="end"/>
        </w:r>
      </w:hyperlink>
    </w:p>
    <w:p w:rsidR="00C54939" w:rsidRDefault="00EE7059">
      <w:pPr>
        <w:pStyle w:val="Obsah2"/>
        <w:tabs>
          <w:tab w:val="left" w:pos="1000"/>
          <w:tab w:val="right" w:leader="dot" w:pos="9627"/>
        </w:tabs>
        <w:rPr>
          <w:rFonts w:asciiTheme="minorHAnsi" w:eastAsiaTheme="minorEastAsia" w:hAnsiTheme="minorHAnsi" w:cstheme="minorBidi"/>
          <w:noProof/>
          <w:sz w:val="22"/>
          <w:szCs w:val="22"/>
        </w:rPr>
      </w:pPr>
      <w:hyperlink w:anchor="_Toc376422273" w:history="1">
        <w:r w:rsidR="00C54939" w:rsidRPr="005C167B">
          <w:rPr>
            <w:rStyle w:val="Hypertextovodkaz"/>
            <w:noProof/>
          </w:rPr>
          <w:t>7.2.1</w:t>
        </w:r>
        <w:r w:rsidR="00C54939">
          <w:rPr>
            <w:rFonts w:asciiTheme="minorHAnsi" w:eastAsiaTheme="minorEastAsia" w:hAnsiTheme="minorHAnsi" w:cstheme="minorBidi"/>
            <w:noProof/>
            <w:sz w:val="22"/>
            <w:szCs w:val="22"/>
          </w:rPr>
          <w:tab/>
        </w:r>
        <w:r w:rsidR="00C54939" w:rsidRPr="005C167B">
          <w:rPr>
            <w:rStyle w:val="Hypertextovodkaz"/>
            <w:noProof/>
          </w:rPr>
          <w:t>Z hlediska programu Helios Orange</w:t>
        </w:r>
        <w:r w:rsidR="00C54939">
          <w:rPr>
            <w:noProof/>
            <w:webHidden/>
          </w:rPr>
          <w:tab/>
        </w:r>
        <w:r w:rsidR="00C54939">
          <w:rPr>
            <w:noProof/>
            <w:webHidden/>
          </w:rPr>
          <w:fldChar w:fldCharType="begin"/>
        </w:r>
        <w:r w:rsidR="00C54939">
          <w:rPr>
            <w:noProof/>
            <w:webHidden/>
          </w:rPr>
          <w:instrText xml:space="preserve"> PAGEREF _Toc376422273 \h </w:instrText>
        </w:r>
        <w:r w:rsidR="00C54939">
          <w:rPr>
            <w:noProof/>
            <w:webHidden/>
          </w:rPr>
        </w:r>
        <w:r w:rsidR="00C54939">
          <w:rPr>
            <w:noProof/>
            <w:webHidden/>
          </w:rPr>
          <w:fldChar w:fldCharType="separate"/>
        </w:r>
        <w:r w:rsidR="00C54939">
          <w:rPr>
            <w:noProof/>
            <w:webHidden/>
          </w:rPr>
          <w:t>34</w:t>
        </w:r>
        <w:r w:rsidR="00C54939">
          <w:rPr>
            <w:noProof/>
            <w:webHidden/>
          </w:rPr>
          <w:fldChar w:fldCharType="end"/>
        </w:r>
      </w:hyperlink>
    </w:p>
    <w:p w:rsidR="00C54939" w:rsidRDefault="00EE7059">
      <w:pPr>
        <w:pStyle w:val="Obsah2"/>
        <w:tabs>
          <w:tab w:val="left" w:pos="800"/>
          <w:tab w:val="right" w:leader="dot" w:pos="9627"/>
        </w:tabs>
        <w:rPr>
          <w:rFonts w:asciiTheme="minorHAnsi" w:eastAsiaTheme="minorEastAsia" w:hAnsiTheme="minorHAnsi" w:cstheme="minorBidi"/>
          <w:noProof/>
          <w:sz w:val="22"/>
          <w:szCs w:val="22"/>
        </w:rPr>
      </w:pPr>
      <w:hyperlink w:anchor="_Toc376422274" w:history="1">
        <w:r w:rsidR="00C54939" w:rsidRPr="005C167B">
          <w:rPr>
            <w:rStyle w:val="Hypertextovodkaz"/>
            <w:noProof/>
          </w:rPr>
          <w:t>7.3</w:t>
        </w:r>
        <w:r w:rsidR="00C54939">
          <w:rPr>
            <w:rFonts w:asciiTheme="minorHAnsi" w:eastAsiaTheme="minorEastAsia" w:hAnsiTheme="minorHAnsi" w:cstheme="minorBidi"/>
            <w:noProof/>
            <w:sz w:val="22"/>
            <w:szCs w:val="22"/>
          </w:rPr>
          <w:tab/>
        </w:r>
        <w:r w:rsidR="00C54939" w:rsidRPr="005C167B">
          <w:rPr>
            <w:rStyle w:val="Hypertextovodkaz"/>
            <w:noProof/>
          </w:rPr>
          <w:t>Srážková daň pouze u dohody o provedení práce a podepsané Prohlášení poplatníka</w:t>
        </w:r>
        <w:r w:rsidR="00C54939">
          <w:rPr>
            <w:noProof/>
            <w:webHidden/>
          </w:rPr>
          <w:tab/>
        </w:r>
        <w:r w:rsidR="00C54939">
          <w:rPr>
            <w:noProof/>
            <w:webHidden/>
          </w:rPr>
          <w:fldChar w:fldCharType="begin"/>
        </w:r>
        <w:r w:rsidR="00C54939">
          <w:rPr>
            <w:noProof/>
            <w:webHidden/>
          </w:rPr>
          <w:instrText xml:space="preserve"> PAGEREF _Toc376422274 \h </w:instrText>
        </w:r>
        <w:r w:rsidR="00C54939">
          <w:rPr>
            <w:noProof/>
            <w:webHidden/>
          </w:rPr>
        </w:r>
        <w:r w:rsidR="00C54939">
          <w:rPr>
            <w:noProof/>
            <w:webHidden/>
          </w:rPr>
          <w:fldChar w:fldCharType="separate"/>
        </w:r>
        <w:r w:rsidR="00C54939">
          <w:rPr>
            <w:noProof/>
            <w:webHidden/>
          </w:rPr>
          <w:t>34</w:t>
        </w:r>
        <w:r w:rsidR="00C54939">
          <w:rPr>
            <w:noProof/>
            <w:webHidden/>
          </w:rPr>
          <w:fldChar w:fldCharType="end"/>
        </w:r>
      </w:hyperlink>
    </w:p>
    <w:p w:rsidR="00C54939" w:rsidRDefault="00EE7059">
      <w:pPr>
        <w:pStyle w:val="Obsah2"/>
        <w:tabs>
          <w:tab w:val="left" w:pos="1000"/>
          <w:tab w:val="right" w:leader="dot" w:pos="9627"/>
        </w:tabs>
        <w:rPr>
          <w:rFonts w:asciiTheme="minorHAnsi" w:eastAsiaTheme="minorEastAsia" w:hAnsiTheme="minorHAnsi" w:cstheme="minorBidi"/>
          <w:noProof/>
          <w:sz w:val="22"/>
          <w:szCs w:val="22"/>
        </w:rPr>
      </w:pPr>
      <w:hyperlink w:anchor="_Toc376422275" w:history="1">
        <w:r w:rsidR="00C54939" w:rsidRPr="005C167B">
          <w:rPr>
            <w:rStyle w:val="Hypertextovodkaz"/>
            <w:noProof/>
          </w:rPr>
          <w:t>7.3.1</w:t>
        </w:r>
        <w:r w:rsidR="00C54939">
          <w:rPr>
            <w:rFonts w:asciiTheme="minorHAnsi" w:eastAsiaTheme="minorEastAsia" w:hAnsiTheme="minorHAnsi" w:cstheme="minorBidi"/>
            <w:noProof/>
            <w:sz w:val="22"/>
            <w:szCs w:val="22"/>
          </w:rPr>
          <w:tab/>
        </w:r>
        <w:r w:rsidR="00C54939" w:rsidRPr="005C167B">
          <w:rPr>
            <w:rStyle w:val="Hypertextovodkaz"/>
            <w:noProof/>
          </w:rPr>
          <w:t>Z hlediska programu Helios Orange</w:t>
        </w:r>
        <w:r w:rsidR="00C54939">
          <w:rPr>
            <w:noProof/>
            <w:webHidden/>
          </w:rPr>
          <w:tab/>
        </w:r>
        <w:r w:rsidR="00C54939">
          <w:rPr>
            <w:noProof/>
            <w:webHidden/>
          </w:rPr>
          <w:fldChar w:fldCharType="begin"/>
        </w:r>
        <w:r w:rsidR="00C54939">
          <w:rPr>
            <w:noProof/>
            <w:webHidden/>
          </w:rPr>
          <w:instrText xml:space="preserve"> PAGEREF _Toc376422275 \h </w:instrText>
        </w:r>
        <w:r w:rsidR="00C54939">
          <w:rPr>
            <w:noProof/>
            <w:webHidden/>
          </w:rPr>
        </w:r>
        <w:r w:rsidR="00C54939">
          <w:rPr>
            <w:noProof/>
            <w:webHidden/>
          </w:rPr>
          <w:fldChar w:fldCharType="separate"/>
        </w:r>
        <w:r w:rsidR="00C54939">
          <w:rPr>
            <w:noProof/>
            <w:webHidden/>
          </w:rPr>
          <w:t>34</w:t>
        </w:r>
        <w:r w:rsidR="00C54939">
          <w:rPr>
            <w:noProof/>
            <w:webHidden/>
          </w:rPr>
          <w:fldChar w:fldCharType="end"/>
        </w:r>
      </w:hyperlink>
    </w:p>
    <w:p w:rsidR="00C54939" w:rsidRDefault="00EE7059">
      <w:pPr>
        <w:pStyle w:val="Obsah2"/>
        <w:tabs>
          <w:tab w:val="left" w:pos="800"/>
          <w:tab w:val="right" w:leader="dot" w:pos="9627"/>
        </w:tabs>
        <w:rPr>
          <w:rFonts w:asciiTheme="minorHAnsi" w:eastAsiaTheme="minorEastAsia" w:hAnsiTheme="minorHAnsi" w:cstheme="minorBidi"/>
          <w:noProof/>
          <w:sz w:val="22"/>
          <w:szCs w:val="22"/>
        </w:rPr>
      </w:pPr>
      <w:hyperlink w:anchor="_Toc376422276" w:history="1">
        <w:r w:rsidR="00C54939" w:rsidRPr="005C167B">
          <w:rPr>
            <w:rStyle w:val="Hypertextovodkaz"/>
            <w:noProof/>
          </w:rPr>
          <w:t>7.4</w:t>
        </w:r>
        <w:r w:rsidR="00C54939">
          <w:rPr>
            <w:rFonts w:asciiTheme="minorHAnsi" w:eastAsiaTheme="minorEastAsia" w:hAnsiTheme="minorHAnsi" w:cstheme="minorBidi"/>
            <w:noProof/>
            <w:sz w:val="22"/>
            <w:szCs w:val="22"/>
          </w:rPr>
          <w:tab/>
        </w:r>
        <w:r w:rsidR="00C54939" w:rsidRPr="005C167B">
          <w:rPr>
            <w:rStyle w:val="Hypertextovodkaz"/>
            <w:noProof/>
          </w:rPr>
          <w:t>Solidární zvýšení daně</w:t>
        </w:r>
        <w:r w:rsidR="00C54939">
          <w:rPr>
            <w:noProof/>
            <w:webHidden/>
          </w:rPr>
          <w:tab/>
        </w:r>
        <w:r w:rsidR="00C54939">
          <w:rPr>
            <w:noProof/>
            <w:webHidden/>
          </w:rPr>
          <w:fldChar w:fldCharType="begin"/>
        </w:r>
        <w:r w:rsidR="00C54939">
          <w:rPr>
            <w:noProof/>
            <w:webHidden/>
          </w:rPr>
          <w:instrText xml:space="preserve"> PAGEREF _Toc376422276 \h </w:instrText>
        </w:r>
        <w:r w:rsidR="00C54939">
          <w:rPr>
            <w:noProof/>
            <w:webHidden/>
          </w:rPr>
        </w:r>
        <w:r w:rsidR="00C54939">
          <w:rPr>
            <w:noProof/>
            <w:webHidden/>
          </w:rPr>
          <w:fldChar w:fldCharType="separate"/>
        </w:r>
        <w:r w:rsidR="00C54939">
          <w:rPr>
            <w:noProof/>
            <w:webHidden/>
          </w:rPr>
          <w:t>37</w:t>
        </w:r>
        <w:r w:rsidR="00C54939">
          <w:rPr>
            <w:noProof/>
            <w:webHidden/>
          </w:rPr>
          <w:fldChar w:fldCharType="end"/>
        </w:r>
      </w:hyperlink>
    </w:p>
    <w:p w:rsidR="00C54939" w:rsidRDefault="00EE7059">
      <w:pPr>
        <w:pStyle w:val="Obsah2"/>
        <w:tabs>
          <w:tab w:val="left" w:pos="1000"/>
          <w:tab w:val="right" w:leader="dot" w:pos="9627"/>
        </w:tabs>
        <w:rPr>
          <w:rFonts w:asciiTheme="minorHAnsi" w:eastAsiaTheme="minorEastAsia" w:hAnsiTheme="minorHAnsi" w:cstheme="minorBidi"/>
          <w:noProof/>
          <w:sz w:val="22"/>
          <w:szCs w:val="22"/>
        </w:rPr>
      </w:pPr>
      <w:hyperlink w:anchor="_Toc376422277" w:history="1">
        <w:r w:rsidR="00C54939" w:rsidRPr="005C167B">
          <w:rPr>
            <w:rStyle w:val="Hypertextovodkaz"/>
            <w:noProof/>
          </w:rPr>
          <w:t>7.4.1</w:t>
        </w:r>
        <w:r w:rsidR="00C54939">
          <w:rPr>
            <w:rFonts w:asciiTheme="minorHAnsi" w:eastAsiaTheme="minorEastAsia" w:hAnsiTheme="minorHAnsi" w:cstheme="minorBidi"/>
            <w:noProof/>
            <w:sz w:val="22"/>
            <w:szCs w:val="22"/>
          </w:rPr>
          <w:tab/>
        </w:r>
        <w:r w:rsidR="00C54939" w:rsidRPr="005C167B">
          <w:rPr>
            <w:rStyle w:val="Hypertextovodkaz"/>
            <w:noProof/>
          </w:rPr>
          <w:t>Z hlediska programu Helios Orange</w:t>
        </w:r>
        <w:r w:rsidR="00C54939">
          <w:rPr>
            <w:noProof/>
            <w:webHidden/>
          </w:rPr>
          <w:tab/>
        </w:r>
        <w:r w:rsidR="00C54939">
          <w:rPr>
            <w:noProof/>
            <w:webHidden/>
          </w:rPr>
          <w:fldChar w:fldCharType="begin"/>
        </w:r>
        <w:r w:rsidR="00C54939">
          <w:rPr>
            <w:noProof/>
            <w:webHidden/>
          </w:rPr>
          <w:instrText xml:space="preserve"> PAGEREF _Toc376422277 \h </w:instrText>
        </w:r>
        <w:r w:rsidR="00C54939">
          <w:rPr>
            <w:noProof/>
            <w:webHidden/>
          </w:rPr>
        </w:r>
        <w:r w:rsidR="00C54939">
          <w:rPr>
            <w:noProof/>
            <w:webHidden/>
          </w:rPr>
          <w:fldChar w:fldCharType="separate"/>
        </w:r>
        <w:r w:rsidR="00C54939">
          <w:rPr>
            <w:noProof/>
            <w:webHidden/>
          </w:rPr>
          <w:t>37</w:t>
        </w:r>
        <w:r w:rsidR="00C54939">
          <w:rPr>
            <w:noProof/>
            <w:webHidden/>
          </w:rPr>
          <w:fldChar w:fldCharType="end"/>
        </w:r>
      </w:hyperlink>
    </w:p>
    <w:p w:rsidR="00C54939" w:rsidRDefault="00EE7059">
      <w:pPr>
        <w:pStyle w:val="Obsah2"/>
        <w:tabs>
          <w:tab w:val="left" w:pos="800"/>
          <w:tab w:val="right" w:leader="dot" w:pos="9627"/>
        </w:tabs>
        <w:rPr>
          <w:rFonts w:asciiTheme="minorHAnsi" w:eastAsiaTheme="minorEastAsia" w:hAnsiTheme="minorHAnsi" w:cstheme="minorBidi"/>
          <w:noProof/>
          <w:sz w:val="22"/>
          <w:szCs w:val="22"/>
        </w:rPr>
      </w:pPr>
      <w:hyperlink w:anchor="_Toc376422278" w:history="1">
        <w:r w:rsidR="00C54939" w:rsidRPr="005C167B">
          <w:rPr>
            <w:rStyle w:val="Hypertextovodkaz"/>
            <w:noProof/>
          </w:rPr>
          <w:t>7.5</w:t>
        </w:r>
        <w:r w:rsidR="00C54939">
          <w:rPr>
            <w:rFonts w:asciiTheme="minorHAnsi" w:eastAsiaTheme="minorEastAsia" w:hAnsiTheme="minorHAnsi" w:cstheme="minorBidi"/>
            <w:noProof/>
            <w:sz w:val="22"/>
            <w:szCs w:val="22"/>
          </w:rPr>
          <w:tab/>
        </w:r>
        <w:r w:rsidR="00C54939" w:rsidRPr="005C167B">
          <w:rPr>
            <w:rStyle w:val="Hypertextovodkaz"/>
            <w:noProof/>
          </w:rPr>
          <w:t>Změny v daňových formulářích</w:t>
        </w:r>
        <w:r w:rsidR="00C54939">
          <w:rPr>
            <w:noProof/>
            <w:webHidden/>
          </w:rPr>
          <w:tab/>
        </w:r>
        <w:r w:rsidR="00C54939">
          <w:rPr>
            <w:noProof/>
            <w:webHidden/>
          </w:rPr>
          <w:fldChar w:fldCharType="begin"/>
        </w:r>
        <w:r w:rsidR="00C54939">
          <w:rPr>
            <w:noProof/>
            <w:webHidden/>
          </w:rPr>
          <w:instrText xml:space="preserve"> PAGEREF _Toc376422278 \h </w:instrText>
        </w:r>
        <w:r w:rsidR="00C54939">
          <w:rPr>
            <w:noProof/>
            <w:webHidden/>
          </w:rPr>
        </w:r>
        <w:r w:rsidR="00C54939">
          <w:rPr>
            <w:noProof/>
            <w:webHidden/>
          </w:rPr>
          <w:fldChar w:fldCharType="separate"/>
        </w:r>
        <w:r w:rsidR="00C54939">
          <w:rPr>
            <w:noProof/>
            <w:webHidden/>
          </w:rPr>
          <w:t>38</w:t>
        </w:r>
        <w:r w:rsidR="00C54939">
          <w:rPr>
            <w:noProof/>
            <w:webHidden/>
          </w:rPr>
          <w:fldChar w:fldCharType="end"/>
        </w:r>
      </w:hyperlink>
    </w:p>
    <w:p w:rsidR="00C54939" w:rsidRDefault="00EE7059">
      <w:pPr>
        <w:pStyle w:val="Obsah1"/>
        <w:tabs>
          <w:tab w:val="left" w:pos="400"/>
          <w:tab w:val="right" w:leader="dot" w:pos="9627"/>
        </w:tabs>
        <w:rPr>
          <w:rFonts w:asciiTheme="minorHAnsi" w:eastAsiaTheme="minorEastAsia" w:hAnsiTheme="minorHAnsi" w:cstheme="minorBidi"/>
          <w:noProof/>
          <w:sz w:val="22"/>
          <w:szCs w:val="22"/>
        </w:rPr>
      </w:pPr>
      <w:hyperlink w:anchor="_Toc376422279" w:history="1">
        <w:r w:rsidR="00C54939" w:rsidRPr="005C167B">
          <w:rPr>
            <w:rStyle w:val="Hypertextovodkaz"/>
            <w:noProof/>
          </w:rPr>
          <w:t>8</w:t>
        </w:r>
        <w:r w:rsidR="00C54939">
          <w:rPr>
            <w:rFonts w:asciiTheme="minorHAnsi" w:eastAsiaTheme="minorEastAsia" w:hAnsiTheme="minorHAnsi" w:cstheme="minorBidi"/>
            <w:noProof/>
            <w:sz w:val="22"/>
            <w:szCs w:val="22"/>
          </w:rPr>
          <w:tab/>
        </w:r>
        <w:r w:rsidR="00C54939" w:rsidRPr="005C167B">
          <w:rPr>
            <w:rStyle w:val="Hypertextovodkaz"/>
            <w:noProof/>
          </w:rPr>
          <w:t>Výkon rozhodnutí</w:t>
        </w:r>
        <w:r w:rsidR="00C54939">
          <w:rPr>
            <w:noProof/>
            <w:webHidden/>
          </w:rPr>
          <w:tab/>
        </w:r>
        <w:r w:rsidR="00C54939">
          <w:rPr>
            <w:noProof/>
            <w:webHidden/>
          </w:rPr>
          <w:fldChar w:fldCharType="begin"/>
        </w:r>
        <w:r w:rsidR="00C54939">
          <w:rPr>
            <w:noProof/>
            <w:webHidden/>
          </w:rPr>
          <w:instrText xml:space="preserve"> PAGEREF _Toc376422279 \h </w:instrText>
        </w:r>
        <w:r w:rsidR="00C54939">
          <w:rPr>
            <w:noProof/>
            <w:webHidden/>
          </w:rPr>
        </w:r>
        <w:r w:rsidR="00C54939">
          <w:rPr>
            <w:noProof/>
            <w:webHidden/>
          </w:rPr>
          <w:fldChar w:fldCharType="separate"/>
        </w:r>
        <w:r w:rsidR="00C54939">
          <w:rPr>
            <w:noProof/>
            <w:webHidden/>
          </w:rPr>
          <w:t>41</w:t>
        </w:r>
        <w:r w:rsidR="00C54939">
          <w:rPr>
            <w:noProof/>
            <w:webHidden/>
          </w:rPr>
          <w:fldChar w:fldCharType="end"/>
        </w:r>
      </w:hyperlink>
    </w:p>
    <w:p w:rsidR="00C54939" w:rsidRDefault="00EE7059">
      <w:pPr>
        <w:pStyle w:val="Obsah1"/>
        <w:tabs>
          <w:tab w:val="left" w:pos="400"/>
          <w:tab w:val="right" w:leader="dot" w:pos="9627"/>
        </w:tabs>
        <w:rPr>
          <w:rFonts w:asciiTheme="minorHAnsi" w:eastAsiaTheme="minorEastAsia" w:hAnsiTheme="minorHAnsi" w:cstheme="minorBidi"/>
          <w:noProof/>
          <w:sz w:val="22"/>
          <w:szCs w:val="22"/>
        </w:rPr>
      </w:pPr>
      <w:hyperlink w:anchor="_Toc376422280" w:history="1">
        <w:r w:rsidR="00C54939" w:rsidRPr="005C167B">
          <w:rPr>
            <w:rStyle w:val="Hypertextovodkaz"/>
            <w:noProof/>
          </w:rPr>
          <w:t>9</w:t>
        </w:r>
        <w:r w:rsidR="00C54939">
          <w:rPr>
            <w:rFonts w:asciiTheme="minorHAnsi" w:eastAsiaTheme="minorEastAsia" w:hAnsiTheme="minorHAnsi" w:cstheme="minorBidi"/>
            <w:noProof/>
            <w:sz w:val="22"/>
            <w:szCs w:val="22"/>
          </w:rPr>
          <w:tab/>
        </w:r>
        <w:r w:rsidR="00C54939" w:rsidRPr="005C167B">
          <w:rPr>
            <w:rStyle w:val="Hypertextovodkaz"/>
            <w:noProof/>
          </w:rPr>
          <w:t>Roční zúčtování daně</w:t>
        </w:r>
        <w:r w:rsidR="00C54939">
          <w:rPr>
            <w:noProof/>
            <w:webHidden/>
          </w:rPr>
          <w:tab/>
        </w:r>
        <w:r w:rsidR="00C54939">
          <w:rPr>
            <w:noProof/>
            <w:webHidden/>
          </w:rPr>
          <w:fldChar w:fldCharType="begin"/>
        </w:r>
        <w:r w:rsidR="00C54939">
          <w:rPr>
            <w:noProof/>
            <w:webHidden/>
          </w:rPr>
          <w:instrText xml:space="preserve"> PAGEREF _Toc376422280 \h </w:instrText>
        </w:r>
        <w:r w:rsidR="00C54939">
          <w:rPr>
            <w:noProof/>
            <w:webHidden/>
          </w:rPr>
        </w:r>
        <w:r w:rsidR="00C54939">
          <w:rPr>
            <w:noProof/>
            <w:webHidden/>
          </w:rPr>
          <w:fldChar w:fldCharType="separate"/>
        </w:r>
        <w:r w:rsidR="00C54939">
          <w:rPr>
            <w:noProof/>
            <w:webHidden/>
          </w:rPr>
          <w:t>42</w:t>
        </w:r>
        <w:r w:rsidR="00C54939">
          <w:rPr>
            <w:noProof/>
            <w:webHidden/>
          </w:rPr>
          <w:fldChar w:fldCharType="end"/>
        </w:r>
      </w:hyperlink>
    </w:p>
    <w:p w:rsidR="00C54939" w:rsidRDefault="00EE7059">
      <w:pPr>
        <w:pStyle w:val="Obsah2"/>
        <w:tabs>
          <w:tab w:val="left" w:pos="800"/>
          <w:tab w:val="right" w:leader="dot" w:pos="9627"/>
        </w:tabs>
        <w:rPr>
          <w:rFonts w:asciiTheme="minorHAnsi" w:eastAsiaTheme="minorEastAsia" w:hAnsiTheme="minorHAnsi" w:cstheme="minorBidi"/>
          <w:noProof/>
          <w:sz w:val="22"/>
          <w:szCs w:val="22"/>
        </w:rPr>
      </w:pPr>
      <w:hyperlink w:anchor="_Toc376422281" w:history="1">
        <w:r w:rsidR="00C54939" w:rsidRPr="005C167B">
          <w:rPr>
            <w:rStyle w:val="Hypertextovodkaz"/>
            <w:noProof/>
          </w:rPr>
          <w:t>9.1</w:t>
        </w:r>
        <w:r w:rsidR="00C54939">
          <w:rPr>
            <w:rFonts w:asciiTheme="minorHAnsi" w:eastAsiaTheme="minorEastAsia" w:hAnsiTheme="minorHAnsi" w:cstheme="minorBidi"/>
            <w:noProof/>
            <w:sz w:val="22"/>
            <w:szCs w:val="22"/>
          </w:rPr>
          <w:tab/>
        </w:r>
        <w:r w:rsidR="00C54939" w:rsidRPr="005C167B">
          <w:rPr>
            <w:rStyle w:val="Hypertextovodkaz"/>
            <w:noProof/>
          </w:rPr>
          <w:t>Princip výpočtu – bez daňového zvýhodnění</w:t>
        </w:r>
        <w:r w:rsidR="00C54939">
          <w:rPr>
            <w:noProof/>
            <w:webHidden/>
          </w:rPr>
          <w:tab/>
        </w:r>
        <w:r w:rsidR="00C54939">
          <w:rPr>
            <w:noProof/>
            <w:webHidden/>
          </w:rPr>
          <w:fldChar w:fldCharType="begin"/>
        </w:r>
        <w:r w:rsidR="00C54939">
          <w:rPr>
            <w:noProof/>
            <w:webHidden/>
          </w:rPr>
          <w:instrText xml:space="preserve"> PAGEREF _Toc376422281 \h </w:instrText>
        </w:r>
        <w:r w:rsidR="00C54939">
          <w:rPr>
            <w:noProof/>
            <w:webHidden/>
          </w:rPr>
        </w:r>
        <w:r w:rsidR="00C54939">
          <w:rPr>
            <w:noProof/>
            <w:webHidden/>
          </w:rPr>
          <w:fldChar w:fldCharType="separate"/>
        </w:r>
        <w:r w:rsidR="00C54939">
          <w:rPr>
            <w:noProof/>
            <w:webHidden/>
          </w:rPr>
          <w:t>42</w:t>
        </w:r>
        <w:r w:rsidR="00C54939">
          <w:rPr>
            <w:noProof/>
            <w:webHidden/>
          </w:rPr>
          <w:fldChar w:fldCharType="end"/>
        </w:r>
      </w:hyperlink>
    </w:p>
    <w:p w:rsidR="00C54939" w:rsidRDefault="00EE7059">
      <w:pPr>
        <w:pStyle w:val="Obsah2"/>
        <w:tabs>
          <w:tab w:val="left" w:pos="800"/>
          <w:tab w:val="right" w:leader="dot" w:pos="9627"/>
        </w:tabs>
        <w:rPr>
          <w:rFonts w:asciiTheme="minorHAnsi" w:eastAsiaTheme="minorEastAsia" w:hAnsiTheme="minorHAnsi" w:cstheme="minorBidi"/>
          <w:noProof/>
          <w:sz w:val="22"/>
          <w:szCs w:val="22"/>
        </w:rPr>
      </w:pPr>
      <w:hyperlink w:anchor="_Toc376422282" w:history="1">
        <w:r w:rsidR="00C54939" w:rsidRPr="005C167B">
          <w:rPr>
            <w:rStyle w:val="Hypertextovodkaz"/>
            <w:noProof/>
          </w:rPr>
          <w:t>9.2</w:t>
        </w:r>
        <w:r w:rsidR="00C54939">
          <w:rPr>
            <w:rFonts w:asciiTheme="minorHAnsi" w:eastAsiaTheme="minorEastAsia" w:hAnsiTheme="minorHAnsi" w:cstheme="minorBidi"/>
            <w:noProof/>
            <w:sz w:val="22"/>
            <w:szCs w:val="22"/>
          </w:rPr>
          <w:tab/>
        </w:r>
        <w:r w:rsidR="00C54939" w:rsidRPr="005C167B">
          <w:rPr>
            <w:rStyle w:val="Hypertextovodkaz"/>
            <w:noProof/>
          </w:rPr>
          <w:t>Princip výpočtu -  s daňovým zvýhodněním</w:t>
        </w:r>
        <w:r w:rsidR="00C54939">
          <w:rPr>
            <w:noProof/>
            <w:webHidden/>
          </w:rPr>
          <w:tab/>
        </w:r>
        <w:r w:rsidR="00C54939">
          <w:rPr>
            <w:noProof/>
            <w:webHidden/>
          </w:rPr>
          <w:fldChar w:fldCharType="begin"/>
        </w:r>
        <w:r w:rsidR="00C54939">
          <w:rPr>
            <w:noProof/>
            <w:webHidden/>
          </w:rPr>
          <w:instrText xml:space="preserve"> PAGEREF _Toc376422282 \h </w:instrText>
        </w:r>
        <w:r w:rsidR="00C54939">
          <w:rPr>
            <w:noProof/>
            <w:webHidden/>
          </w:rPr>
        </w:r>
        <w:r w:rsidR="00C54939">
          <w:rPr>
            <w:noProof/>
            <w:webHidden/>
          </w:rPr>
          <w:fldChar w:fldCharType="separate"/>
        </w:r>
        <w:r w:rsidR="00C54939">
          <w:rPr>
            <w:noProof/>
            <w:webHidden/>
          </w:rPr>
          <w:t>43</w:t>
        </w:r>
        <w:r w:rsidR="00C54939">
          <w:rPr>
            <w:noProof/>
            <w:webHidden/>
          </w:rPr>
          <w:fldChar w:fldCharType="end"/>
        </w:r>
      </w:hyperlink>
    </w:p>
    <w:p w:rsidR="00C54939" w:rsidRDefault="00EE7059">
      <w:pPr>
        <w:pStyle w:val="Obsah2"/>
        <w:tabs>
          <w:tab w:val="left" w:pos="800"/>
          <w:tab w:val="right" w:leader="dot" w:pos="9627"/>
        </w:tabs>
        <w:rPr>
          <w:rFonts w:asciiTheme="minorHAnsi" w:eastAsiaTheme="minorEastAsia" w:hAnsiTheme="minorHAnsi" w:cstheme="minorBidi"/>
          <w:noProof/>
          <w:sz w:val="22"/>
          <w:szCs w:val="22"/>
        </w:rPr>
      </w:pPr>
      <w:hyperlink w:anchor="_Toc376422283" w:history="1">
        <w:r w:rsidR="00C54939" w:rsidRPr="005C167B">
          <w:rPr>
            <w:rStyle w:val="Hypertextovodkaz"/>
            <w:noProof/>
          </w:rPr>
          <w:t>9.3</w:t>
        </w:r>
        <w:r w:rsidR="00C54939">
          <w:rPr>
            <w:rFonts w:asciiTheme="minorHAnsi" w:eastAsiaTheme="minorEastAsia" w:hAnsiTheme="minorHAnsi" w:cstheme="minorBidi"/>
            <w:noProof/>
            <w:sz w:val="22"/>
            <w:szCs w:val="22"/>
          </w:rPr>
          <w:tab/>
        </w:r>
        <w:r w:rsidR="00C54939" w:rsidRPr="005C167B">
          <w:rPr>
            <w:rStyle w:val="Hypertextovodkaz"/>
            <w:noProof/>
          </w:rPr>
          <w:t>Z hlediska programu Helios Orange</w:t>
        </w:r>
        <w:r w:rsidR="00C54939">
          <w:rPr>
            <w:noProof/>
            <w:webHidden/>
          </w:rPr>
          <w:tab/>
        </w:r>
        <w:r w:rsidR="00C54939">
          <w:rPr>
            <w:noProof/>
            <w:webHidden/>
          </w:rPr>
          <w:fldChar w:fldCharType="begin"/>
        </w:r>
        <w:r w:rsidR="00C54939">
          <w:rPr>
            <w:noProof/>
            <w:webHidden/>
          </w:rPr>
          <w:instrText xml:space="preserve"> PAGEREF _Toc376422283 \h </w:instrText>
        </w:r>
        <w:r w:rsidR="00C54939">
          <w:rPr>
            <w:noProof/>
            <w:webHidden/>
          </w:rPr>
        </w:r>
        <w:r w:rsidR="00C54939">
          <w:rPr>
            <w:noProof/>
            <w:webHidden/>
          </w:rPr>
          <w:fldChar w:fldCharType="separate"/>
        </w:r>
        <w:r w:rsidR="00C54939">
          <w:rPr>
            <w:noProof/>
            <w:webHidden/>
          </w:rPr>
          <w:t>44</w:t>
        </w:r>
        <w:r w:rsidR="00C54939">
          <w:rPr>
            <w:noProof/>
            <w:webHidden/>
          </w:rPr>
          <w:fldChar w:fldCharType="end"/>
        </w:r>
      </w:hyperlink>
    </w:p>
    <w:p w:rsidR="00C54939" w:rsidRDefault="00EE7059">
      <w:pPr>
        <w:pStyle w:val="Obsah2"/>
        <w:tabs>
          <w:tab w:val="left" w:pos="800"/>
          <w:tab w:val="right" w:leader="dot" w:pos="9627"/>
        </w:tabs>
        <w:rPr>
          <w:rFonts w:asciiTheme="minorHAnsi" w:eastAsiaTheme="minorEastAsia" w:hAnsiTheme="minorHAnsi" w:cstheme="minorBidi"/>
          <w:noProof/>
          <w:sz w:val="22"/>
          <w:szCs w:val="22"/>
        </w:rPr>
      </w:pPr>
      <w:hyperlink w:anchor="_Toc376422284" w:history="1">
        <w:r w:rsidR="00C54939" w:rsidRPr="005C167B">
          <w:rPr>
            <w:rStyle w:val="Hypertextovodkaz"/>
            <w:noProof/>
          </w:rPr>
          <w:t>9.4</w:t>
        </w:r>
        <w:r w:rsidR="00C54939">
          <w:rPr>
            <w:rFonts w:asciiTheme="minorHAnsi" w:eastAsiaTheme="minorEastAsia" w:hAnsiTheme="minorHAnsi" w:cstheme="minorBidi"/>
            <w:noProof/>
            <w:sz w:val="22"/>
            <w:szCs w:val="22"/>
          </w:rPr>
          <w:tab/>
        </w:r>
        <w:r w:rsidR="00C54939" w:rsidRPr="005C167B">
          <w:rPr>
            <w:rStyle w:val="Hypertextovodkaz"/>
            <w:noProof/>
          </w:rPr>
          <w:t>Formulář pro vyplňování ročního zúčtování</w:t>
        </w:r>
        <w:r w:rsidR="00C54939">
          <w:rPr>
            <w:noProof/>
            <w:webHidden/>
          </w:rPr>
          <w:tab/>
        </w:r>
        <w:r w:rsidR="00C54939">
          <w:rPr>
            <w:noProof/>
            <w:webHidden/>
          </w:rPr>
          <w:fldChar w:fldCharType="begin"/>
        </w:r>
        <w:r w:rsidR="00C54939">
          <w:rPr>
            <w:noProof/>
            <w:webHidden/>
          </w:rPr>
          <w:instrText xml:space="preserve"> PAGEREF _Toc376422284 \h </w:instrText>
        </w:r>
        <w:r w:rsidR="00C54939">
          <w:rPr>
            <w:noProof/>
            <w:webHidden/>
          </w:rPr>
        </w:r>
        <w:r w:rsidR="00C54939">
          <w:rPr>
            <w:noProof/>
            <w:webHidden/>
          </w:rPr>
          <w:fldChar w:fldCharType="separate"/>
        </w:r>
        <w:r w:rsidR="00C54939">
          <w:rPr>
            <w:noProof/>
            <w:webHidden/>
          </w:rPr>
          <w:t>47</w:t>
        </w:r>
        <w:r w:rsidR="00C54939">
          <w:rPr>
            <w:noProof/>
            <w:webHidden/>
          </w:rPr>
          <w:fldChar w:fldCharType="end"/>
        </w:r>
      </w:hyperlink>
    </w:p>
    <w:p w:rsidR="00C54939" w:rsidRDefault="00EE7059">
      <w:pPr>
        <w:pStyle w:val="Obsah3"/>
        <w:tabs>
          <w:tab w:val="right" w:leader="dot" w:pos="9627"/>
        </w:tabs>
        <w:rPr>
          <w:rFonts w:asciiTheme="minorHAnsi" w:eastAsiaTheme="minorEastAsia" w:hAnsiTheme="minorHAnsi" w:cstheme="minorBidi"/>
          <w:noProof/>
          <w:sz w:val="22"/>
          <w:szCs w:val="22"/>
        </w:rPr>
      </w:pPr>
      <w:hyperlink w:anchor="_Toc376422285" w:history="1">
        <w:r w:rsidR="00C54939" w:rsidRPr="005C167B">
          <w:rPr>
            <w:rStyle w:val="Hypertextovodkaz"/>
            <w:noProof/>
          </w:rPr>
          <w:t>8.4.1. Záložka Základní údaje</w:t>
        </w:r>
        <w:r w:rsidR="00C54939">
          <w:rPr>
            <w:noProof/>
            <w:webHidden/>
          </w:rPr>
          <w:tab/>
        </w:r>
        <w:r w:rsidR="00C54939">
          <w:rPr>
            <w:noProof/>
            <w:webHidden/>
          </w:rPr>
          <w:fldChar w:fldCharType="begin"/>
        </w:r>
        <w:r w:rsidR="00C54939">
          <w:rPr>
            <w:noProof/>
            <w:webHidden/>
          </w:rPr>
          <w:instrText xml:space="preserve"> PAGEREF _Toc376422285 \h </w:instrText>
        </w:r>
        <w:r w:rsidR="00C54939">
          <w:rPr>
            <w:noProof/>
            <w:webHidden/>
          </w:rPr>
        </w:r>
        <w:r w:rsidR="00C54939">
          <w:rPr>
            <w:noProof/>
            <w:webHidden/>
          </w:rPr>
          <w:fldChar w:fldCharType="separate"/>
        </w:r>
        <w:r w:rsidR="00C54939">
          <w:rPr>
            <w:noProof/>
            <w:webHidden/>
          </w:rPr>
          <w:t>48</w:t>
        </w:r>
        <w:r w:rsidR="00C54939">
          <w:rPr>
            <w:noProof/>
            <w:webHidden/>
          </w:rPr>
          <w:fldChar w:fldCharType="end"/>
        </w:r>
      </w:hyperlink>
    </w:p>
    <w:p w:rsidR="00C54939" w:rsidRDefault="00EE7059">
      <w:pPr>
        <w:pStyle w:val="Obsah3"/>
        <w:tabs>
          <w:tab w:val="right" w:leader="dot" w:pos="9627"/>
        </w:tabs>
        <w:rPr>
          <w:rFonts w:asciiTheme="minorHAnsi" w:eastAsiaTheme="minorEastAsia" w:hAnsiTheme="minorHAnsi" w:cstheme="minorBidi"/>
          <w:noProof/>
          <w:sz w:val="22"/>
          <w:szCs w:val="22"/>
        </w:rPr>
      </w:pPr>
      <w:hyperlink w:anchor="_Toc376422286" w:history="1">
        <w:r w:rsidR="00C54939" w:rsidRPr="005C167B">
          <w:rPr>
            <w:rStyle w:val="Hypertextovodkaz"/>
            <w:noProof/>
          </w:rPr>
          <w:t>8.4.2. Záložka Zúčtování daně</w:t>
        </w:r>
        <w:r w:rsidR="00C54939">
          <w:rPr>
            <w:noProof/>
            <w:webHidden/>
          </w:rPr>
          <w:tab/>
        </w:r>
        <w:r w:rsidR="00C54939">
          <w:rPr>
            <w:noProof/>
            <w:webHidden/>
          </w:rPr>
          <w:fldChar w:fldCharType="begin"/>
        </w:r>
        <w:r w:rsidR="00C54939">
          <w:rPr>
            <w:noProof/>
            <w:webHidden/>
          </w:rPr>
          <w:instrText xml:space="preserve"> PAGEREF _Toc376422286 \h </w:instrText>
        </w:r>
        <w:r w:rsidR="00C54939">
          <w:rPr>
            <w:noProof/>
            <w:webHidden/>
          </w:rPr>
        </w:r>
        <w:r w:rsidR="00C54939">
          <w:rPr>
            <w:noProof/>
            <w:webHidden/>
          </w:rPr>
          <w:fldChar w:fldCharType="separate"/>
        </w:r>
        <w:r w:rsidR="00C54939">
          <w:rPr>
            <w:noProof/>
            <w:webHidden/>
          </w:rPr>
          <w:t>49</w:t>
        </w:r>
        <w:r w:rsidR="00C54939">
          <w:rPr>
            <w:noProof/>
            <w:webHidden/>
          </w:rPr>
          <w:fldChar w:fldCharType="end"/>
        </w:r>
      </w:hyperlink>
    </w:p>
    <w:p w:rsidR="00C54939" w:rsidRDefault="00EE7059">
      <w:pPr>
        <w:pStyle w:val="Obsah3"/>
        <w:tabs>
          <w:tab w:val="right" w:leader="dot" w:pos="9627"/>
        </w:tabs>
        <w:rPr>
          <w:rFonts w:asciiTheme="minorHAnsi" w:eastAsiaTheme="minorEastAsia" w:hAnsiTheme="minorHAnsi" w:cstheme="minorBidi"/>
          <w:noProof/>
          <w:sz w:val="22"/>
          <w:szCs w:val="22"/>
        </w:rPr>
      </w:pPr>
      <w:hyperlink w:anchor="_Toc376422287" w:history="1">
        <w:r w:rsidR="00C54939" w:rsidRPr="005C167B">
          <w:rPr>
            <w:rStyle w:val="Hypertextovodkaz"/>
            <w:noProof/>
          </w:rPr>
          <w:t>8.4.3. Záložka Daňové slevy a odpočty</w:t>
        </w:r>
        <w:r w:rsidR="00C54939">
          <w:rPr>
            <w:noProof/>
            <w:webHidden/>
          </w:rPr>
          <w:tab/>
        </w:r>
        <w:r w:rsidR="00C54939">
          <w:rPr>
            <w:noProof/>
            <w:webHidden/>
          </w:rPr>
          <w:fldChar w:fldCharType="begin"/>
        </w:r>
        <w:r w:rsidR="00C54939">
          <w:rPr>
            <w:noProof/>
            <w:webHidden/>
          </w:rPr>
          <w:instrText xml:space="preserve"> PAGEREF _Toc376422287 \h </w:instrText>
        </w:r>
        <w:r w:rsidR="00C54939">
          <w:rPr>
            <w:noProof/>
            <w:webHidden/>
          </w:rPr>
        </w:r>
        <w:r w:rsidR="00C54939">
          <w:rPr>
            <w:noProof/>
            <w:webHidden/>
          </w:rPr>
          <w:fldChar w:fldCharType="separate"/>
        </w:r>
        <w:r w:rsidR="00C54939">
          <w:rPr>
            <w:noProof/>
            <w:webHidden/>
          </w:rPr>
          <w:t>52</w:t>
        </w:r>
        <w:r w:rsidR="00C54939">
          <w:rPr>
            <w:noProof/>
            <w:webHidden/>
          </w:rPr>
          <w:fldChar w:fldCharType="end"/>
        </w:r>
      </w:hyperlink>
    </w:p>
    <w:p w:rsidR="00C54939" w:rsidRDefault="00EE7059">
      <w:pPr>
        <w:pStyle w:val="Obsah2"/>
        <w:tabs>
          <w:tab w:val="left" w:pos="800"/>
          <w:tab w:val="right" w:leader="dot" w:pos="9627"/>
        </w:tabs>
        <w:rPr>
          <w:rFonts w:asciiTheme="minorHAnsi" w:eastAsiaTheme="minorEastAsia" w:hAnsiTheme="minorHAnsi" w:cstheme="minorBidi"/>
          <w:noProof/>
          <w:sz w:val="22"/>
          <w:szCs w:val="22"/>
        </w:rPr>
      </w:pPr>
      <w:hyperlink w:anchor="_Toc376422288" w:history="1">
        <w:r w:rsidR="00C54939" w:rsidRPr="005C167B">
          <w:rPr>
            <w:rStyle w:val="Hypertextovodkaz"/>
            <w:noProof/>
          </w:rPr>
          <w:t>9.5</w:t>
        </w:r>
        <w:r w:rsidR="00C54939">
          <w:rPr>
            <w:rFonts w:asciiTheme="minorHAnsi" w:eastAsiaTheme="minorEastAsia" w:hAnsiTheme="minorHAnsi" w:cstheme="minorBidi"/>
            <w:noProof/>
            <w:sz w:val="22"/>
            <w:szCs w:val="22"/>
          </w:rPr>
          <w:tab/>
        </w:r>
        <w:r w:rsidR="00C54939" w:rsidRPr="005C167B">
          <w:rPr>
            <w:rStyle w:val="Hypertextovodkaz"/>
            <w:noProof/>
          </w:rPr>
          <w:t>Přenos ročního zúčtování do mezd</w:t>
        </w:r>
        <w:r w:rsidR="00C54939">
          <w:rPr>
            <w:noProof/>
            <w:webHidden/>
          </w:rPr>
          <w:tab/>
        </w:r>
        <w:r w:rsidR="00C54939">
          <w:rPr>
            <w:noProof/>
            <w:webHidden/>
          </w:rPr>
          <w:fldChar w:fldCharType="begin"/>
        </w:r>
        <w:r w:rsidR="00C54939">
          <w:rPr>
            <w:noProof/>
            <w:webHidden/>
          </w:rPr>
          <w:instrText xml:space="preserve"> PAGEREF _Toc376422288 \h </w:instrText>
        </w:r>
        <w:r w:rsidR="00C54939">
          <w:rPr>
            <w:noProof/>
            <w:webHidden/>
          </w:rPr>
        </w:r>
        <w:r w:rsidR="00C54939">
          <w:rPr>
            <w:noProof/>
            <w:webHidden/>
          </w:rPr>
          <w:fldChar w:fldCharType="separate"/>
        </w:r>
        <w:r w:rsidR="00C54939">
          <w:rPr>
            <w:noProof/>
            <w:webHidden/>
          </w:rPr>
          <w:t>52</w:t>
        </w:r>
        <w:r w:rsidR="00C54939">
          <w:rPr>
            <w:noProof/>
            <w:webHidden/>
          </w:rPr>
          <w:fldChar w:fldCharType="end"/>
        </w:r>
      </w:hyperlink>
    </w:p>
    <w:p w:rsidR="00C54939" w:rsidRDefault="00EE7059">
      <w:pPr>
        <w:pStyle w:val="Obsah2"/>
        <w:tabs>
          <w:tab w:val="left" w:pos="800"/>
          <w:tab w:val="right" w:leader="dot" w:pos="9627"/>
        </w:tabs>
        <w:rPr>
          <w:rFonts w:asciiTheme="minorHAnsi" w:eastAsiaTheme="minorEastAsia" w:hAnsiTheme="minorHAnsi" w:cstheme="minorBidi"/>
          <w:noProof/>
          <w:sz w:val="22"/>
          <w:szCs w:val="22"/>
        </w:rPr>
      </w:pPr>
      <w:hyperlink w:anchor="_Toc376422289" w:history="1">
        <w:r w:rsidR="00C54939" w:rsidRPr="005C167B">
          <w:rPr>
            <w:rStyle w:val="Hypertextovodkaz"/>
            <w:noProof/>
          </w:rPr>
          <w:t>9.6</w:t>
        </w:r>
        <w:r w:rsidR="00C54939">
          <w:rPr>
            <w:rFonts w:asciiTheme="minorHAnsi" w:eastAsiaTheme="minorEastAsia" w:hAnsiTheme="minorHAnsi" w:cstheme="minorBidi"/>
            <w:noProof/>
            <w:sz w:val="22"/>
            <w:szCs w:val="22"/>
          </w:rPr>
          <w:tab/>
        </w:r>
        <w:r w:rsidR="00C54939" w:rsidRPr="005C167B">
          <w:rPr>
            <w:rStyle w:val="Hypertextovodkaz"/>
            <w:noProof/>
          </w:rPr>
          <w:t>ZPS  - zákonné pojištění zaměstnavatele</w:t>
        </w:r>
        <w:r w:rsidR="00C54939">
          <w:rPr>
            <w:noProof/>
            <w:webHidden/>
          </w:rPr>
          <w:tab/>
        </w:r>
        <w:r w:rsidR="00C54939">
          <w:rPr>
            <w:noProof/>
            <w:webHidden/>
          </w:rPr>
          <w:fldChar w:fldCharType="begin"/>
        </w:r>
        <w:r w:rsidR="00C54939">
          <w:rPr>
            <w:noProof/>
            <w:webHidden/>
          </w:rPr>
          <w:instrText xml:space="preserve"> PAGEREF _Toc376422289 \h </w:instrText>
        </w:r>
        <w:r w:rsidR="00C54939">
          <w:rPr>
            <w:noProof/>
            <w:webHidden/>
          </w:rPr>
        </w:r>
        <w:r w:rsidR="00C54939">
          <w:rPr>
            <w:noProof/>
            <w:webHidden/>
          </w:rPr>
          <w:fldChar w:fldCharType="separate"/>
        </w:r>
        <w:r w:rsidR="00C54939">
          <w:rPr>
            <w:noProof/>
            <w:webHidden/>
          </w:rPr>
          <w:t>52</w:t>
        </w:r>
        <w:r w:rsidR="00C54939">
          <w:rPr>
            <w:noProof/>
            <w:webHidden/>
          </w:rPr>
          <w:fldChar w:fldCharType="end"/>
        </w:r>
      </w:hyperlink>
    </w:p>
    <w:p w:rsidR="00C54939" w:rsidRDefault="00EE7059">
      <w:pPr>
        <w:pStyle w:val="Obsah1"/>
        <w:tabs>
          <w:tab w:val="left" w:pos="600"/>
          <w:tab w:val="right" w:leader="dot" w:pos="9627"/>
        </w:tabs>
        <w:rPr>
          <w:rFonts w:asciiTheme="minorHAnsi" w:eastAsiaTheme="minorEastAsia" w:hAnsiTheme="minorHAnsi" w:cstheme="minorBidi"/>
          <w:noProof/>
          <w:sz w:val="22"/>
          <w:szCs w:val="22"/>
        </w:rPr>
      </w:pPr>
      <w:hyperlink w:anchor="_Toc376422290" w:history="1">
        <w:r w:rsidR="00C54939" w:rsidRPr="005C167B">
          <w:rPr>
            <w:rStyle w:val="Hypertextovodkaz"/>
            <w:noProof/>
          </w:rPr>
          <w:t>10</w:t>
        </w:r>
        <w:r w:rsidR="00C54939">
          <w:rPr>
            <w:rFonts w:asciiTheme="minorHAnsi" w:eastAsiaTheme="minorEastAsia" w:hAnsiTheme="minorHAnsi" w:cstheme="minorBidi"/>
            <w:noProof/>
            <w:sz w:val="22"/>
            <w:szCs w:val="22"/>
          </w:rPr>
          <w:tab/>
        </w:r>
        <w:r w:rsidR="00C54939" w:rsidRPr="005C167B">
          <w:rPr>
            <w:rStyle w:val="Hypertextovodkaz"/>
            <w:noProof/>
          </w:rPr>
          <w:t>elektronické odesílání</w:t>
        </w:r>
        <w:r w:rsidR="00C54939">
          <w:rPr>
            <w:noProof/>
            <w:webHidden/>
          </w:rPr>
          <w:tab/>
        </w:r>
        <w:r w:rsidR="00C54939">
          <w:rPr>
            <w:noProof/>
            <w:webHidden/>
          </w:rPr>
          <w:fldChar w:fldCharType="begin"/>
        </w:r>
        <w:r w:rsidR="00C54939">
          <w:rPr>
            <w:noProof/>
            <w:webHidden/>
          </w:rPr>
          <w:instrText xml:space="preserve"> PAGEREF _Toc376422290 \h </w:instrText>
        </w:r>
        <w:r w:rsidR="00C54939">
          <w:rPr>
            <w:noProof/>
            <w:webHidden/>
          </w:rPr>
        </w:r>
        <w:r w:rsidR="00C54939">
          <w:rPr>
            <w:noProof/>
            <w:webHidden/>
          </w:rPr>
          <w:fldChar w:fldCharType="separate"/>
        </w:r>
        <w:r w:rsidR="00C54939">
          <w:rPr>
            <w:noProof/>
            <w:webHidden/>
          </w:rPr>
          <w:t>53</w:t>
        </w:r>
        <w:r w:rsidR="00C54939">
          <w:rPr>
            <w:noProof/>
            <w:webHidden/>
          </w:rPr>
          <w:fldChar w:fldCharType="end"/>
        </w:r>
      </w:hyperlink>
    </w:p>
    <w:p w:rsidR="0074246D" w:rsidRDefault="00F17911" w:rsidP="0074246D">
      <w:r>
        <w:fldChar w:fldCharType="end"/>
      </w:r>
      <w:r w:rsidR="0074246D">
        <w:t xml:space="preserve"> </w:t>
      </w:r>
    </w:p>
    <w:p w:rsidR="0074246D" w:rsidRDefault="0074246D" w:rsidP="0074246D">
      <w:r>
        <w:br w:type="page"/>
      </w:r>
    </w:p>
    <w:p w:rsidR="0074246D" w:rsidRDefault="0074246D" w:rsidP="0074246D">
      <w:pPr>
        <w:pStyle w:val="Nadpis1"/>
        <w:numPr>
          <w:ilvl w:val="0"/>
          <w:numId w:val="1"/>
        </w:numPr>
      </w:pPr>
      <w:bookmarkStart w:id="2" w:name="_Toc376422228"/>
      <w:r>
        <w:lastRenderedPageBreak/>
        <w:t xml:space="preserve">Přechod na rok </w:t>
      </w:r>
      <w:bookmarkEnd w:id="0"/>
      <w:r w:rsidR="00C345B2">
        <w:t>2014</w:t>
      </w:r>
      <w:bookmarkEnd w:id="2"/>
    </w:p>
    <w:p w:rsidR="0074246D" w:rsidRDefault="0074246D" w:rsidP="0074246D">
      <w:pPr>
        <w:pStyle w:val="Nadpis2"/>
        <w:numPr>
          <w:ilvl w:val="1"/>
          <w:numId w:val="1"/>
        </w:numPr>
      </w:pPr>
      <w:bookmarkStart w:id="3" w:name="_Toc187638169"/>
      <w:bookmarkStart w:id="4" w:name="_Toc376422229"/>
      <w:r>
        <w:t>Verze</w:t>
      </w:r>
      <w:bookmarkEnd w:id="3"/>
      <w:bookmarkEnd w:id="4"/>
    </w:p>
    <w:p w:rsidR="006C679B" w:rsidRDefault="0074246D" w:rsidP="0074246D">
      <w:pPr>
        <w:rPr>
          <w:b/>
        </w:rPr>
      </w:pPr>
      <w:r w:rsidRPr="00EC5F3D">
        <w:t xml:space="preserve">Před výpočtem mzdy </w:t>
      </w:r>
      <w:r w:rsidRPr="00EC5F3D">
        <w:rPr>
          <w:b/>
        </w:rPr>
        <w:t xml:space="preserve">za leden </w:t>
      </w:r>
      <w:r w:rsidR="00C345B2">
        <w:rPr>
          <w:b/>
        </w:rPr>
        <w:t>2014</w:t>
      </w:r>
      <w:r>
        <w:t xml:space="preserve"> musí být nainstalovaná minimálně </w:t>
      </w:r>
      <w:r w:rsidRPr="00EC5F3D">
        <w:t>verze</w:t>
      </w:r>
      <w:r>
        <w:t xml:space="preserve"> </w:t>
      </w:r>
      <w:r w:rsidR="00C83F10">
        <w:rPr>
          <w:b/>
        </w:rPr>
        <w:t>2.0.</w:t>
      </w:r>
      <w:r w:rsidR="00C345B2">
        <w:rPr>
          <w:b/>
        </w:rPr>
        <w:t>2014</w:t>
      </w:r>
      <w:r w:rsidR="00C83F10">
        <w:rPr>
          <w:b/>
        </w:rPr>
        <w:t>.</w:t>
      </w:r>
      <w:r w:rsidR="00487451">
        <w:rPr>
          <w:b/>
        </w:rPr>
        <w:t>0105</w:t>
      </w:r>
      <w:r w:rsidR="008F222F" w:rsidRPr="008F222F">
        <w:t>.</w:t>
      </w:r>
      <w:r w:rsidR="008F222F">
        <w:rPr>
          <w:rFonts w:cs="Arial"/>
          <w:color w:val="0000FF"/>
          <w:szCs w:val="20"/>
        </w:rPr>
        <w:t xml:space="preserve"> </w:t>
      </w:r>
    </w:p>
    <w:p w:rsidR="0074246D" w:rsidRDefault="0074246D" w:rsidP="0074246D">
      <w:r w:rsidRPr="00EC5F3D">
        <w:t>Kontrolu provedete v horní liště programu Helios Orange, v nabídce Nápověda, O programu -  položka Verze.</w:t>
      </w:r>
    </w:p>
    <w:p w:rsidR="00141AD5" w:rsidRDefault="00141AD5" w:rsidP="00141AD5">
      <w:pPr>
        <w:pStyle w:val="Nadpis2"/>
        <w:numPr>
          <w:ilvl w:val="1"/>
          <w:numId w:val="1"/>
        </w:numPr>
      </w:pPr>
      <w:bookmarkStart w:id="5" w:name="_Toc376422230"/>
      <w:r>
        <w:t xml:space="preserve">Kontrola údajů před uzávěrkou prosince </w:t>
      </w:r>
      <w:r w:rsidR="00C345B2">
        <w:t>2013</w:t>
      </w:r>
      <w:bookmarkEnd w:id="5"/>
    </w:p>
    <w:p w:rsidR="008F222F" w:rsidRDefault="008F222F" w:rsidP="00EC1275">
      <w:pPr>
        <w:numPr>
          <w:ilvl w:val="0"/>
          <w:numId w:val="30"/>
        </w:numPr>
        <w:rPr>
          <w:b/>
        </w:rPr>
      </w:pPr>
      <w:r w:rsidRPr="008F222F">
        <w:rPr>
          <w:b/>
        </w:rPr>
        <w:t xml:space="preserve">Položka Archivace </w:t>
      </w:r>
    </w:p>
    <w:p w:rsidR="00F4110E" w:rsidRDefault="00F4110E" w:rsidP="00F4110E">
      <w:pPr>
        <w:ind w:left="1440"/>
        <w:rPr>
          <w:b/>
        </w:rPr>
      </w:pPr>
    </w:p>
    <w:p w:rsidR="005758CA" w:rsidRPr="005758CA" w:rsidRDefault="005C29B5" w:rsidP="002632C7">
      <w:r w:rsidRPr="005C29B5">
        <w:t>Zkontrolujte</w:t>
      </w:r>
      <w:r>
        <w:t>, zda v nabídce Konstanty a číselníky</w:t>
      </w:r>
      <w:r w:rsidR="00A22480">
        <w:t xml:space="preserve">, </w:t>
      </w:r>
      <w:r w:rsidR="005B4B95">
        <w:t>Konstanty a sazby v sekci Přednastavené parametry</w:t>
      </w:r>
      <w:r w:rsidR="00A22480">
        <w:t xml:space="preserve"> je nastavena položka </w:t>
      </w:r>
      <w:r w:rsidR="00A22480" w:rsidRPr="005758CA">
        <w:rPr>
          <w:b/>
        </w:rPr>
        <w:t>Archivace</w:t>
      </w:r>
      <w:r w:rsidR="00A22480">
        <w:t xml:space="preserve">, dle vašich požadavků. </w:t>
      </w:r>
    </w:p>
    <w:p w:rsidR="00A22480" w:rsidRPr="00A22480" w:rsidRDefault="00A22480" w:rsidP="002632C7">
      <w:r>
        <w:t xml:space="preserve">Tato položka určuje, kolik let po ukončení pracovního poměru bude zaměstnanec „vidět“ ve Mzdových údajích. </w:t>
      </w:r>
    </w:p>
    <w:p w:rsidR="00141AD5" w:rsidRDefault="00A22480" w:rsidP="002632C7">
      <w:r>
        <w:t xml:space="preserve">Pokud je zde nastavena nula, znamená to, že v roce </w:t>
      </w:r>
      <w:r w:rsidR="00C345B2">
        <w:t>2014</w:t>
      </w:r>
      <w:r>
        <w:t xml:space="preserve"> uvidíte všechny zaměstnance bez ohledu na to, kdy ukončili pracovní poměr.</w:t>
      </w:r>
    </w:p>
    <w:p w:rsidR="00615CD9" w:rsidRDefault="00615CD9" w:rsidP="00A22480">
      <w:pPr>
        <w:ind w:left="720"/>
      </w:pPr>
    </w:p>
    <w:p w:rsidR="00615CD9" w:rsidRPr="00615CD9" w:rsidRDefault="00615CD9" w:rsidP="002632C7">
      <w:pPr>
        <w:rPr>
          <w:b/>
        </w:rPr>
      </w:pPr>
      <w:r w:rsidRPr="00615CD9">
        <w:rPr>
          <w:b/>
        </w:rPr>
        <w:t xml:space="preserve">Příklad </w:t>
      </w:r>
    </w:p>
    <w:p w:rsidR="00A22480" w:rsidRDefault="00A22480" w:rsidP="002632C7">
      <w:r>
        <w:t>Pokud je zde nastavena například jednička</w:t>
      </w:r>
      <w:r w:rsidR="00836EF6">
        <w:t xml:space="preserve"> (jeden rok)</w:t>
      </w:r>
      <w:r>
        <w:t xml:space="preserve">, znamená to, že po roční uzávěrce roku </w:t>
      </w:r>
      <w:r w:rsidR="00C345B2">
        <w:t>2013</w:t>
      </w:r>
      <w:r w:rsidR="00836EF6">
        <w:t xml:space="preserve"> neuvidíte ve </w:t>
      </w:r>
      <w:r w:rsidR="005D66BC">
        <w:t xml:space="preserve">Mzdových údajích roku </w:t>
      </w:r>
      <w:r w:rsidR="00C345B2">
        <w:t>2014</w:t>
      </w:r>
      <w:r w:rsidR="005D66BC">
        <w:t xml:space="preserve"> ty zaměstnance, </w:t>
      </w:r>
      <w:r w:rsidR="004454DB">
        <w:t>u kterých od ukončení pracovního poměru uběhl alespoň jeden rok.</w:t>
      </w:r>
    </w:p>
    <w:p w:rsidR="005758CA" w:rsidRDefault="005758CA" w:rsidP="002632C7">
      <w:r>
        <w:t xml:space="preserve">Jestliže budete mít zaměstnance, který ukončil pracovní poměr v průběhu roku </w:t>
      </w:r>
      <w:r w:rsidR="00C345B2">
        <w:t>2013</w:t>
      </w:r>
      <w:r>
        <w:t xml:space="preserve">, roční uzávěrka roku </w:t>
      </w:r>
      <w:r w:rsidR="00C345B2">
        <w:t>2013</w:t>
      </w:r>
      <w:r>
        <w:t xml:space="preserve"> ho „přenese“ do roku </w:t>
      </w:r>
      <w:r w:rsidR="00C345B2">
        <w:t>2014</w:t>
      </w:r>
      <w:r>
        <w:t xml:space="preserve"> – ještě od ukončení pracovního poměru neuběhl rok.</w:t>
      </w:r>
    </w:p>
    <w:p w:rsidR="005758CA" w:rsidRDefault="005758CA" w:rsidP="002632C7">
      <w:r>
        <w:t>Jestliže budete mít zaměstnance, který u</w:t>
      </w:r>
      <w:r w:rsidR="00C72CEB">
        <w:t>končil pracovní poměr v roce 2010</w:t>
      </w:r>
      <w:r>
        <w:t xml:space="preserve"> nebo dříve, roční uzávěrku roku </w:t>
      </w:r>
      <w:r w:rsidR="00C345B2">
        <w:t>2013</w:t>
      </w:r>
      <w:r>
        <w:t xml:space="preserve"> ho „nepřenese“ do roku </w:t>
      </w:r>
      <w:r w:rsidR="00C345B2">
        <w:t>2014</w:t>
      </w:r>
      <w:r>
        <w:t xml:space="preserve"> – již uplynul rok od ukončení pracovního poměru.</w:t>
      </w:r>
    </w:p>
    <w:p w:rsidR="00027DDC" w:rsidRDefault="00027DDC">
      <w:pPr>
        <w:widowControl/>
        <w:adjustRightInd/>
        <w:spacing w:line="240" w:lineRule="auto"/>
        <w:jc w:val="left"/>
        <w:textAlignment w:val="auto"/>
      </w:pPr>
      <w:r>
        <w:br w:type="page"/>
      </w:r>
    </w:p>
    <w:p w:rsidR="00C40C0B" w:rsidRDefault="00C40C0B" w:rsidP="00A22480">
      <w:pPr>
        <w:ind w:left="720"/>
      </w:pPr>
    </w:p>
    <w:p w:rsidR="00C40C0B" w:rsidRDefault="00C40C0B" w:rsidP="002632C7">
      <w:pPr>
        <w:rPr>
          <w:b/>
        </w:rPr>
      </w:pPr>
      <w:r w:rsidRPr="00C40C0B">
        <w:rPr>
          <w:b/>
        </w:rPr>
        <w:t>POZOR!</w:t>
      </w:r>
    </w:p>
    <w:p w:rsidR="00C40C0B" w:rsidRDefault="00C40C0B" w:rsidP="002632C7">
      <w:r>
        <w:t>Tím, že nastavíte tuto konstant</w:t>
      </w:r>
      <w:r w:rsidR="004329B3">
        <w:t xml:space="preserve">u, zaměstnanec </w:t>
      </w:r>
      <w:r w:rsidR="00CD6B2E">
        <w:t xml:space="preserve">v následujících letech </w:t>
      </w:r>
      <w:r w:rsidR="004329B3">
        <w:t>„nezmizí“. Vždy bude zobrazen v číselníku Zaměstnanci a jeho Mzdové údaje z předchozích let budou vidět při vstupu do předchozích let.</w:t>
      </w:r>
    </w:p>
    <w:p w:rsidR="004329B3" w:rsidRPr="00C40C0B" w:rsidRDefault="004329B3" w:rsidP="00A22480">
      <w:pPr>
        <w:ind w:left="720"/>
      </w:pPr>
    </w:p>
    <w:p w:rsidR="005C29B5" w:rsidRDefault="00770130" w:rsidP="00CC27E0">
      <w:pPr>
        <w:jc w:val="center"/>
      </w:pPr>
      <w:r>
        <w:rPr>
          <w:noProof/>
        </w:rPr>
        <w:drawing>
          <wp:inline distT="0" distB="0" distL="0" distR="0" wp14:anchorId="6FA20FFA" wp14:editId="374BE980">
            <wp:extent cx="3665538" cy="2788078"/>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65698" cy="2788200"/>
                    </a:xfrm>
                    <a:prstGeom prst="rect">
                      <a:avLst/>
                    </a:prstGeom>
                    <a:noFill/>
                    <a:ln>
                      <a:noFill/>
                    </a:ln>
                  </pic:spPr>
                </pic:pic>
              </a:graphicData>
            </a:graphic>
          </wp:inline>
        </w:drawing>
      </w:r>
    </w:p>
    <w:p w:rsidR="00503982" w:rsidRDefault="00503982" w:rsidP="005C29B5"/>
    <w:p w:rsidR="00CD6B2E" w:rsidRPr="00E41094" w:rsidRDefault="009D61DF" w:rsidP="00EC1275">
      <w:pPr>
        <w:numPr>
          <w:ilvl w:val="0"/>
          <w:numId w:val="30"/>
        </w:numPr>
        <w:rPr>
          <w:b/>
        </w:rPr>
      </w:pPr>
      <w:r w:rsidRPr="00E41094">
        <w:rPr>
          <w:b/>
        </w:rPr>
        <w:t>Položka OZP (Osoba zdravotně postižená)</w:t>
      </w:r>
    </w:p>
    <w:p w:rsidR="00027DDC" w:rsidRDefault="00027DDC" w:rsidP="008002F9">
      <w:pPr>
        <w:ind w:left="720"/>
      </w:pPr>
    </w:p>
    <w:p w:rsidR="00503982" w:rsidRPr="001C5D30" w:rsidRDefault="008002F9" w:rsidP="002632C7">
      <w:r>
        <w:t xml:space="preserve">V nabídce Zaměstnanci, </w:t>
      </w:r>
      <w:r w:rsidR="00E41094">
        <w:t>Doplňující údaje, Osobní údaje</w:t>
      </w:r>
      <w:r w:rsidR="005B4B95">
        <w:t xml:space="preserve"> sekce Ostatní údaje</w:t>
      </w:r>
      <w:r w:rsidR="00E41094">
        <w:t xml:space="preserve"> </w:t>
      </w:r>
      <w:r>
        <w:t>je nutné, aby</w:t>
      </w:r>
      <w:r w:rsidR="00503982" w:rsidRPr="00503982">
        <w:t xml:space="preserve"> byl</w:t>
      </w:r>
      <w:r>
        <w:t>a</w:t>
      </w:r>
      <w:r w:rsidR="00503982" w:rsidRPr="00503982">
        <w:t xml:space="preserve"> správně </w:t>
      </w:r>
      <w:r>
        <w:t xml:space="preserve">vyplněna položka </w:t>
      </w:r>
      <w:r w:rsidRPr="0023780D">
        <w:rPr>
          <w:b/>
        </w:rPr>
        <w:t>OZP</w:t>
      </w:r>
      <w:r>
        <w:t xml:space="preserve">. Tato položka má zásadní vliv na </w:t>
      </w:r>
      <w:r w:rsidRPr="00F4110E">
        <w:rPr>
          <w:b/>
        </w:rPr>
        <w:t>výpočet Povinného podílu.</w:t>
      </w:r>
    </w:p>
    <w:p w:rsidR="001C5D30" w:rsidRPr="00503982" w:rsidRDefault="001C5D30" w:rsidP="002632C7"/>
    <w:p w:rsidR="00503982" w:rsidRDefault="00503982" w:rsidP="002632C7">
      <w:pPr>
        <w:rPr>
          <w:b/>
        </w:rPr>
      </w:pPr>
      <w:r>
        <w:rPr>
          <w:b/>
        </w:rPr>
        <w:t>POZOR!</w:t>
      </w:r>
    </w:p>
    <w:p w:rsidR="00503982" w:rsidRPr="0023780D" w:rsidRDefault="00503982" w:rsidP="002632C7">
      <w:pPr>
        <w:rPr>
          <w:b/>
        </w:rPr>
      </w:pPr>
      <w:r>
        <w:t xml:space="preserve">Údaje do formuláře Povinného podílu se počítají vždy po jednotlivých měsících, je tedy nutné, aby informace o tom, zda se jedná o OZP </w:t>
      </w:r>
      <w:r w:rsidRPr="0023780D">
        <w:rPr>
          <w:b/>
        </w:rPr>
        <w:t>byla ve všech měsících, ve kterých zaměstnanec byl OZP.</w:t>
      </w:r>
    </w:p>
    <w:p w:rsidR="0023780D" w:rsidRDefault="0023780D" w:rsidP="002632C7"/>
    <w:p w:rsidR="00503982" w:rsidRDefault="00503982" w:rsidP="002632C7">
      <w:r>
        <w:t xml:space="preserve">Jestliže v již uzavřených měsících tuto položku nemáte vyplněnou, je možné nad nabídkou Mzdové období spustit z místní nabídky akci Odemkni mzdové období. Následně provést </w:t>
      </w:r>
      <w:r>
        <w:lastRenderedPageBreak/>
        <w:t xml:space="preserve">úpravu položky OZP. </w:t>
      </w:r>
    </w:p>
    <w:p w:rsidR="00503982" w:rsidRDefault="00503982" w:rsidP="002632C7">
      <w:r>
        <w:t xml:space="preserve">Opravu konkrétního měsíce zakončíte spuštěním Opakované uzávěrky v Mzdovém </w:t>
      </w:r>
      <w:r w:rsidR="001C5D30">
        <w:t>období (vše necháte implicitně nastaveno, nic nenastavujete).</w:t>
      </w:r>
    </w:p>
    <w:p w:rsidR="00503982" w:rsidRPr="00503982" w:rsidRDefault="00503982" w:rsidP="00503982">
      <w:pPr>
        <w:ind w:left="720"/>
      </w:pPr>
    </w:p>
    <w:p w:rsidR="00503982" w:rsidRPr="00503982" w:rsidRDefault="00770130" w:rsidP="00027DDC">
      <w:pPr>
        <w:ind w:left="720"/>
        <w:jc w:val="center"/>
      </w:pPr>
      <w:r>
        <w:rPr>
          <w:noProof/>
        </w:rPr>
        <w:drawing>
          <wp:inline distT="0" distB="0" distL="0" distR="0" wp14:anchorId="76499AC1" wp14:editId="00C2D45B">
            <wp:extent cx="3559104" cy="411760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9065" cy="4117560"/>
                    </a:xfrm>
                    <a:prstGeom prst="rect">
                      <a:avLst/>
                    </a:prstGeom>
                    <a:noFill/>
                    <a:ln>
                      <a:noFill/>
                    </a:ln>
                  </pic:spPr>
                </pic:pic>
              </a:graphicData>
            </a:graphic>
          </wp:inline>
        </w:drawing>
      </w:r>
    </w:p>
    <w:p w:rsidR="00141AD5" w:rsidRPr="00141AD5" w:rsidRDefault="00141AD5" w:rsidP="00141AD5"/>
    <w:p w:rsidR="005B4B95" w:rsidRPr="00E41094" w:rsidRDefault="005B4B95" w:rsidP="005B4B95">
      <w:pPr>
        <w:numPr>
          <w:ilvl w:val="0"/>
          <w:numId w:val="30"/>
        </w:numPr>
        <w:rPr>
          <w:b/>
        </w:rPr>
      </w:pPr>
      <w:r>
        <w:rPr>
          <w:b/>
        </w:rPr>
        <w:t>Kód území (Kód základní územní jednotky)</w:t>
      </w:r>
    </w:p>
    <w:p w:rsidR="005B4B95" w:rsidRDefault="005B4B95" w:rsidP="005B4B95">
      <w:pPr>
        <w:ind w:left="720"/>
      </w:pPr>
    </w:p>
    <w:p w:rsidR="005B4B95" w:rsidRPr="003D0F86" w:rsidRDefault="005B4B95" w:rsidP="002632C7">
      <w:r>
        <w:t>V nabídce Zaměstnanci, Doplňující údaje, Osobní údaje</w:t>
      </w:r>
      <w:r w:rsidR="009D7615">
        <w:t xml:space="preserve"> v sekci Ostatní údaje</w:t>
      </w:r>
      <w:r>
        <w:t xml:space="preserve"> je nutné, aby</w:t>
      </w:r>
      <w:r w:rsidRPr="00503982">
        <w:t xml:space="preserve"> byl</w:t>
      </w:r>
      <w:r>
        <w:t>a</w:t>
      </w:r>
      <w:r w:rsidRPr="00503982">
        <w:t xml:space="preserve"> správně </w:t>
      </w:r>
      <w:r>
        <w:t xml:space="preserve">vyplněna položka </w:t>
      </w:r>
      <w:r w:rsidR="009D7615">
        <w:rPr>
          <w:b/>
        </w:rPr>
        <w:t>Kód území</w:t>
      </w:r>
      <w:r>
        <w:t xml:space="preserve">. </w:t>
      </w:r>
      <w:r w:rsidR="003D0F86">
        <w:t xml:space="preserve">Jedná se o kód územní jednotky, ve kterém se nachází místo výkonu práce zaměstnance. </w:t>
      </w:r>
      <w:r>
        <w:t>Tato položka má zásadní vliv na</w:t>
      </w:r>
      <w:r w:rsidR="009D7615">
        <w:rPr>
          <w:b/>
        </w:rPr>
        <w:t xml:space="preserve"> sestavení formuláře Přílohy č</w:t>
      </w:r>
      <w:r w:rsidRPr="00F4110E">
        <w:rPr>
          <w:b/>
        </w:rPr>
        <w:t>.</w:t>
      </w:r>
      <w:r w:rsidR="00945355">
        <w:rPr>
          <w:b/>
        </w:rPr>
        <w:t xml:space="preserve"> </w:t>
      </w:r>
      <w:r w:rsidR="009D7615">
        <w:rPr>
          <w:b/>
        </w:rPr>
        <w:t xml:space="preserve">1 - </w:t>
      </w:r>
      <w:r w:rsidR="009D7615" w:rsidRPr="009D7615">
        <w:rPr>
          <w:b/>
          <w:bCs/>
        </w:rPr>
        <w:t>POČET ZAMĚSTNANCŮ ke dn</w:t>
      </w:r>
      <w:r w:rsidR="009D7615">
        <w:rPr>
          <w:b/>
          <w:bCs/>
        </w:rPr>
        <w:t xml:space="preserve">i 1. 12. </w:t>
      </w:r>
      <w:r w:rsidR="00C345B2">
        <w:rPr>
          <w:b/>
          <w:bCs/>
        </w:rPr>
        <w:t>2013</w:t>
      </w:r>
      <w:r w:rsidR="003D0F86">
        <w:rPr>
          <w:b/>
          <w:bCs/>
        </w:rPr>
        <w:t>.</w:t>
      </w:r>
      <w:r w:rsidR="003D0F86">
        <w:rPr>
          <w:bCs/>
        </w:rPr>
        <w:t xml:space="preserve"> Položka je navázána na přehled pomocných číselníků ve speciální skupině „Kód území“, zadáváte kód a </w:t>
      </w:r>
      <w:r w:rsidR="008A40BD">
        <w:rPr>
          <w:bCs/>
        </w:rPr>
        <w:t>popis</w:t>
      </w:r>
      <w:r w:rsidR="003D0F86">
        <w:rPr>
          <w:bCs/>
        </w:rPr>
        <w:t xml:space="preserve"> území.</w:t>
      </w:r>
    </w:p>
    <w:p w:rsidR="005B4B95" w:rsidRPr="00503982" w:rsidRDefault="005B4B95" w:rsidP="002632C7"/>
    <w:p w:rsidR="005B4B95" w:rsidRDefault="005B4B95" w:rsidP="002632C7">
      <w:pPr>
        <w:rPr>
          <w:b/>
        </w:rPr>
      </w:pPr>
      <w:r>
        <w:rPr>
          <w:b/>
        </w:rPr>
        <w:lastRenderedPageBreak/>
        <w:t>POZOR!</w:t>
      </w:r>
    </w:p>
    <w:p w:rsidR="005B4B95" w:rsidRPr="0023780D" w:rsidRDefault="008A40BD" w:rsidP="002632C7">
      <w:pPr>
        <w:rPr>
          <w:b/>
        </w:rPr>
      </w:pPr>
      <w:r>
        <w:t>Jelikož se jedná o stav zaměstnanců k 1.12.</w:t>
      </w:r>
      <w:r w:rsidR="00C345B2">
        <w:t>2013</w:t>
      </w:r>
      <w:r>
        <w:t xml:space="preserve">, není třeba atribut vyplňovat do všech mzdových obdobích roku </w:t>
      </w:r>
      <w:r w:rsidR="00C345B2">
        <w:t>2013</w:t>
      </w:r>
      <w:r>
        <w:t xml:space="preserve">. </w:t>
      </w:r>
      <w:r w:rsidRPr="008A40BD">
        <w:rPr>
          <w:b/>
        </w:rPr>
        <w:t xml:space="preserve">Postačí pouze pokud doplníte údaje do prosince </w:t>
      </w:r>
      <w:r w:rsidR="00C345B2">
        <w:rPr>
          <w:b/>
        </w:rPr>
        <w:t>2013</w:t>
      </w:r>
      <w:r w:rsidR="005B4B95" w:rsidRPr="0023780D">
        <w:rPr>
          <w:b/>
        </w:rPr>
        <w:t>.</w:t>
      </w:r>
    </w:p>
    <w:p w:rsidR="005B4B95" w:rsidRDefault="005B4B95" w:rsidP="002632C7"/>
    <w:p w:rsidR="005B4B95" w:rsidRDefault="005B4B95" w:rsidP="002632C7">
      <w:r>
        <w:t>Jestliže v již uzavřen</w:t>
      </w:r>
      <w:r w:rsidR="008A40BD">
        <w:t>ém</w:t>
      </w:r>
      <w:r>
        <w:t xml:space="preserve"> měsíc</w:t>
      </w:r>
      <w:r w:rsidR="008A40BD">
        <w:t>i prosinci</w:t>
      </w:r>
      <w:r>
        <w:t xml:space="preserve"> tuto položku nemáte vyplněnou, je možné nad nabídkou Mzdové období spustit z místní nabídky akci Odemkni mzdové období. Následně provést úpravu položky </w:t>
      </w:r>
      <w:r w:rsidR="008A40BD">
        <w:t>Kód území</w:t>
      </w:r>
      <w:r>
        <w:t xml:space="preserve">. </w:t>
      </w:r>
    </w:p>
    <w:p w:rsidR="005B4B95" w:rsidRDefault="005B4B95" w:rsidP="002632C7">
      <w:r>
        <w:t>Opravu konkrétního měsíce zakončíte spuštěním Opakované uzávěrky v Mzdovém období (vše necháte implicitně nastaveno, nic nenastavujete).</w:t>
      </w:r>
    </w:p>
    <w:p w:rsidR="008A40BD" w:rsidRDefault="008A40BD" w:rsidP="002632C7"/>
    <w:p w:rsidR="00141AD5" w:rsidRDefault="003D0F86" w:rsidP="008A40BD">
      <w:pPr>
        <w:jc w:val="center"/>
      </w:pPr>
      <w:r>
        <w:rPr>
          <w:noProof/>
        </w:rPr>
        <w:drawing>
          <wp:inline distT="0" distB="0" distL="0" distR="0" wp14:anchorId="4D594C73" wp14:editId="75D6A3C1">
            <wp:extent cx="3051740" cy="3530624"/>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53455" cy="3532608"/>
                    </a:xfrm>
                    <a:prstGeom prst="rect">
                      <a:avLst/>
                    </a:prstGeom>
                    <a:noFill/>
                    <a:ln>
                      <a:noFill/>
                    </a:ln>
                  </pic:spPr>
                </pic:pic>
              </a:graphicData>
            </a:graphic>
          </wp:inline>
        </w:drawing>
      </w:r>
    </w:p>
    <w:p w:rsidR="0074246D" w:rsidRDefault="0074246D" w:rsidP="0074246D">
      <w:pPr>
        <w:pStyle w:val="Nadpis2"/>
        <w:numPr>
          <w:ilvl w:val="1"/>
          <w:numId w:val="1"/>
        </w:numPr>
      </w:pPr>
      <w:bookmarkStart w:id="6" w:name="_Toc376422231"/>
      <w:r>
        <w:t>Roční uzávěrka</w:t>
      </w:r>
      <w:bookmarkEnd w:id="6"/>
    </w:p>
    <w:p w:rsidR="0074246D" w:rsidRDefault="0074246D" w:rsidP="0074246D">
      <w:r>
        <w:t>Roční uzávěrku lze provést až poté, co bude provedena měsíční uzávěrka</w:t>
      </w:r>
      <w:r w:rsidR="006C679B">
        <w:t xml:space="preserve"> za prosinec </w:t>
      </w:r>
      <w:r w:rsidR="00C345B2">
        <w:t>2013</w:t>
      </w:r>
      <w:r>
        <w:t xml:space="preserve">. </w:t>
      </w:r>
    </w:p>
    <w:p w:rsidR="0074246D" w:rsidRDefault="0074246D" w:rsidP="0074246D">
      <w:r>
        <w:t>Roční uzávěrku provádíte nad nabídkou Mzdové období. Vyberete měsíc prosinec a z místní nabídky zvolíte akci Roční uzávěrka. Bez provedení roční uzávěrky není mož</w:t>
      </w:r>
      <w:r w:rsidR="006C679B">
        <w:t xml:space="preserve">né počítat výplaty za leden </w:t>
      </w:r>
      <w:r w:rsidR="00C345B2">
        <w:t>2014</w:t>
      </w:r>
      <w:r>
        <w:t>.</w:t>
      </w:r>
    </w:p>
    <w:p w:rsidR="00C54939" w:rsidRDefault="00C54939" w:rsidP="00C54939">
      <w:pPr>
        <w:pStyle w:val="Nadpis2"/>
        <w:numPr>
          <w:ilvl w:val="1"/>
          <w:numId w:val="1"/>
        </w:numPr>
      </w:pPr>
      <w:bookmarkStart w:id="7" w:name="_Toc376422232"/>
      <w:r>
        <w:lastRenderedPageBreak/>
        <w:t>Dovolená standard a nadstandard</w:t>
      </w:r>
      <w:bookmarkEnd w:id="7"/>
    </w:p>
    <w:p w:rsidR="00C54939" w:rsidRDefault="00C54939" w:rsidP="00C54939">
      <w:r>
        <w:t xml:space="preserve">Pro rok 2013 zůstatek dovolené z předminulého roku (2011) nepropadá a tzv. nadlimitní dovolená se neproplácí. Veškerý zůstatek se převádí a kumuluje v položce Zůstatek z ML v editoru Mzdových údajů na záložce Dovolená. </w:t>
      </w:r>
    </w:p>
    <w:p w:rsidR="00C54939" w:rsidRDefault="00C54939" w:rsidP="00C54939"/>
    <w:p w:rsidR="00C54939" w:rsidRDefault="00C54939" w:rsidP="00C54939">
      <w:r>
        <w:t xml:space="preserve">Pro rok 2013 byla zrušena sekce Zůstatky z minulých let. Dovolená není rozdělena na dovolenou Standard a nadstandard. Zároveň z podzáložky čerpání byly odstraněny položky týkající se dovolené z předminulého roku. </w:t>
      </w:r>
    </w:p>
    <w:p w:rsidR="00C54939" w:rsidRDefault="00C54939" w:rsidP="00C54939"/>
    <w:p w:rsidR="00C54939" w:rsidRDefault="00C54939" w:rsidP="00C54939">
      <w:r>
        <w:t xml:space="preserve">Při prosincové závěrce a roční závěrce dochází v případě dovolené z minulého roku a předchozích ke kumulaci do jediné položky Zůstatek z ML. </w:t>
      </w:r>
    </w:p>
    <w:p w:rsidR="0074246D" w:rsidRPr="00EC5F3D" w:rsidRDefault="0074246D" w:rsidP="0074246D">
      <w:pPr>
        <w:pStyle w:val="Nadpis2"/>
        <w:numPr>
          <w:ilvl w:val="1"/>
          <w:numId w:val="1"/>
        </w:numPr>
      </w:pPr>
      <w:bookmarkStart w:id="8" w:name="_Toc156581098"/>
      <w:bookmarkStart w:id="9" w:name="_Toc156581314"/>
      <w:bookmarkStart w:id="10" w:name="_Toc156581407"/>
      <w:bookmarkStart w:id="11" w:name="_Toc156620247"/>
      <w:bookmarkStart w:id="12" w:name="_Toc156620313"/>
      <w:bookmarkStart w:id="13" w:name="_Toc187638170"/>
      <w:bookmarkStart w:id="14" w:name="_Toc376422233"/>
      <w:r w:rsidRPr="00EC5F3D">
        <w:t>Mzdové konstanty</w:t>
      </w:r>
      <w:bookmarkEnd w:id="8"/>
      <w:bookmarkEnd w:id="9"/>
      <w:bookmarkEnd w:id="10"/>
      <w:bookmarkEnd w:id="11"/>
      <w:bookmarkEnd w:id="12"/>
      <w:bookmarkEnd w:id="13"/>
      <w:bookmarkEnd w:id="14"/>
    </w:p>
    <w:p w:rsidR="0074246D" w:rsidRPr="00EC5F3D" w:rsidRDefault="00C03627" w:rsidP="0074246D">
      <w:r>
        <w:t xml:space="preserve">Pokud </w:t>
      </w:r>
      <w:r w:rsidR="0074246D" w:rsidRPr="00EC5F3D">
        <w:t xml:space="preserve">provedete Roční uzávěrku </w:t>
      </w:r>
      <w:r w:rsidR="0074246D">
        <w:t>alespoň na</w:t>
      </w:r>
      <w:r w:rsidR="0074246D" w:rsidRPr="00EC5F3D">
        <w:t xml:space="preserve"> verzi</w:t>
      </w:r>
      <w:r w:rsidR="0074246D">
        <w:t xml:space="preserve"> </w:t>
      </w:r>
      <w:r w:rsidR="00677B65">
        <w:rPr>
          <w:b/>
        </w:rPr>
        <w:t>2.0.</w:t>
      </w:r>
      <w:r w:rsidR="00C345B2">
        <w:rPr>
          <w:b/>
        </w:rPr>
        <w:t>201</w:t>
      </w:r>
      <w:r w:rsidR="00742D88">
        <w:rPr>
          <w:b/>
        </w:rPr>
        <w:t>3</w:t>
      </w:r>
      <w:r w:rsidR="00677B65">
        <w:rPr>
          <w:b/>
        </w:rPr>
        <w:t>.</w:t>
      </w:r>
      <w:r w:rsidR="00742D88">
        <w:rPr>
          <w:b/>
        </w:rPr>
        <w:t>1202</w:t>
      </w:r>
      <w:r w:rsidR="0074246D" w:rsidRPr="00EC5F3D">
        <w:t xml:space="preserve">, budou v konstantách pro </w:t>
      </w:r>
      <w:r w:rsidR="003B1461">
        <w:t xml:space="preserve">rok </w:t>
      </w:r>
      <w:r w:rsidR="00C345B2">
        <w:t>2014</w:t>
      </w:r>
      <w:r w:rsidR="0074246D" w:rsidRPr="00EC5F3D">
        <w:t xml:space="preserve"> nastaveny všechny konstanty správně. </w:t>
      </w:r>
    </w:p>
    <w:p w:rsidR="0074246D" w:rsidRPr="00EC5F3D" w:rsidRDefault="0074246D" w:rsidP="0074246D"/>
    <w:p w:rsidR="0074246D" w:rsidRPr="00EC5F3D" w:rsidRDefault="0074246D" w:rsidP="0074246D">
      <w:r w:rsidRPr="00EC5F3D">
        <w:t>Pokud jste pro</w:t>
      </w:r>
      <w:r>
        <w:t xml:space="preserve">vedli uzávěrku na verzi nižší, </w:t>
      </w:r>
      <w:r w:rsidRPr="00EC5F3D">
        <w:t xml:space="preserve">je </w:t>
      </w:r>
      <w:r w:rsidRPr="00A318CF">
        <w:rPr>
          <w:b/>
        </w:rPr>
        <w:t>nutný</w:t>
      </w:r>
      <w:r w:rsidRPr="00EC5F3D">
        <w:t xml:space="preserve"> následující postup:</w:t>
      </w:r>
    </w:p>
    <w:p w:rsidR="0074246D" w:rsidRPr="00EC5F3D" w:rsidRDefault="0074246D" w:rsidP="0074246D"/>
    <w:p w:rsidR="0074246D" w:rsidRPr="00EC5F3D" w:rsidRDefault="0074246D" w:rsidP="00EC1275">
      <w:pPr>
        <w:numPr>
          <w:ilvl w:val="0"/>
          <w:numId w:val="21"/>
        </w:numPr>
      </w:pPr>
      <w:r w:rsidRPr="00EC5F3D">
        <w:t>Vstoupíte do nabídky Mzdové období</w:t>
      </w:r>
    </w:p>
    <w:p w:rsidR="0074246D" w:rsidRPr="00EC5F3D" w:rsidRDefault="0074246D" w:rsidP="00EC1275">
      <w:pPr>
        <w:numPr>
          <w:ilvl w:val="0"/>
          <w:numId w:val="21"/>
        </w:numPr>
      </w:pPr>
      <w:r w:rsidRPr="00EC5F3D">
        <w:t xml:space="preserve">Vyberete měsíc leden </w:t>
      </w:r>
      <w:r w:rsidR="00C345B2">
        <w:t>2014</w:t>
      </w:r>
      <w:r w:rsidRPr="00EC5F3D">
        <w:t xml:space="preserve"> (pravé tlačítko myši -  Vyber období)</w:t>
      </w:r>
    </w:p>
    <w:p w:rsidR="0074246D" w:rsidRDefault="0074246D" w:rsidP="00EC1275">
      <w:pPr>
        <w:numPr>
          <w:ilvl w:val="0"/>
          <w:numId w:val="21"/>
        </w:numPr>
      </w:pPr>
      <w:r w:rsidRPr="00EC5F3D">
        <w:t>Spustíte akci Aktualizace mzdových konstant -  Standardní</w:t>
      </w:r>
    </w:p>
    <w:p w:rsidR="0074246D" w:rsidRDefault="0074246D" w:rsidP="0074246D"/>
    <w:p w:rsidR="0074246D" w:rsidRDefault="0074246D" w:rsidP="0074246D">
      <w:r>
        <w:t>Tím, že akci Aktualizaci mzdových konstant – Standardní spustíte</w:t>
      </w:r>
      <w:r w:rsidR="0032506F">
        <w:t xml:space="preserve"> </w:t>
      </w:r>
      <w:r w:rsidR="002632C7">
        <w:t xml:space="preserve">alespoň </w:t>
      </w:r>
      <w:r w:rsidR="0032506F">
        <w:t xml:space="preserve">na verzi </w:t>
      </w:r>
      <w:r>
        <w:t xml:space="preserve"> </w:t>
      </w:r>
      <w:r w:rsidR="00677B65">
        <w:rPr>
          <w:b/>
        </w:rPr>
        <w:t>2.0.</w:t>
      </w:r>
      <w:r w:rsidR="00C345B2">
        <w:rPr>
          <w:b/>
        </w:rPr>
        <w:t>2014</w:t>
      </w:r>
      <w:r w:rsidR="00677B65">
        <w:rPr>
          <w:b/>
        </w:rPr>
        <w:t>.</w:t>
      </w:r>
      <w:r w:rsidR="008148E6">
        <w:rPr>
          <w:b/>
        </w:rPr>
        <w:t>0105</w:t>
      </w:r>
      <w:bookmarkStart w:id="15" w:name="_GoBack"/>
      <w:bookmarkEnd w:id="15"/>
      <w:r w:rsidR="0032506F">
        <w:rPr>
          <w:b/>
        </w:rPr>
        <w:t xml:space="preserve"> </w:t>
      </w:r>
      <w:r w:rsidRPr="003B3E05">
        <w:rPr>
          <w:b/>
        </w:rPr>
        <w:t xml:space="preserve">před výpočtem mezd za leden </w:t>
      </w:r>
      <w:r w:rsidR="00C345B2">
        <w:rPr>
          <w:b/>
        </w:rPr>
        <w:t>2014</w:t>
      </w:r>
      <w:r>
        <w:t xml:space="preserve"> nic nepokazíte, naopak, budete mít jistotu, že konstanty jsou </w:t>
      </w:r>
      <w:r w:rsidR="005A1AE7">
        <w:rPr>
          <w:b/>
        </w:rPr>
        <w:t xml:space="preserve">pro rok </w:t>
      </w:r>
      <w:r w:rsidR="00C345B2">
        <w:rPr>
          <w:b/>
        </w:rPr>
        <w:t>2014</w:t>
      </w:r>
      <w:r w:rsidRPr="003B3E05">
        <w:rPr>
          <w:b/>
        </w:rPr>
        <w:t xml:space="preserve"> nastaveny </w:t>
      </w:r>
      <w:r>
        <w:rPr>
          <w:b/>
        </w:rPr>
        <w:t>dle aktuální legislativy</w:t>
      </w:r>
      <w:r>
        <w:t>.</w:t>
      </w:r>
    </w:p>
    <w:p w:rsidR="0074246D" w:rsidRDefault="0074246D" w:rsidP="0074246D"/>
    <w:p w:rsidR="0074246D" w:rsidRPr="00EC5F3D" w:rsidRDefault="0074246D" w:rsidP="0074246D">
      <w:pPr>
        <w:pStyle w:val="Nadpis2"/>
        <w:numPr>
          <w:ilvl w:val="1"/>
          <w:numId w:val="1"/>
        </w:numPr>
      </w:pPr>
      <w:bookmarkStart w:id="16" w:name="_Toc156581099"/>
      <w:bookmarkStart w:id="17" w:name="_Toc156581315"/>
      <w:bookmarkStart w:id="18" w:name="_Toc156581408"/>
      <w:bookmarkStart w:id="19" w:name="_Toc156620248"/>
      <w:bookmarkStart w:id="20" w:name="_Toc156620314"/>
      <w:bookmarkStart w:id="21" w:name="_Toc187638171"/>
      <w:bookmarkStart w:id="22" w:name="_Toc376422234"/>
      <w:r w:rsidRPr="00EC5F3D">
        <w:t xml:space="preserve">Výpočet v lednu </w:t>
      </w:r>
      <w:bookmarkEnd w:id="16"/>
      <w:bookmarkEnd w:id="17"/>
      <w:bookmarkEnd w:id="18"/>
      <w:bookmarkEnd w:id="19"/>
      <w:bookmarkEnd w:id="20"/>
      <w:bookmarkEnd w:id="21"/>
      <w:r w:rsidR="00C345B2">
        <w:t>2014</w:t>
      </w:r>
      <w:bookmarkEnd w:id="22"/>
    </w:p>
    <w:p w:rsidR="0074246D" w:rsidRDefault="00B304D9" w:rsidP="00B304D9">
      <w:pPr>
        <w:pStyle w:val="Nadpis3"/>
      </w:pPr>
      <w:bookmarkStart w:id="23" w:name="_Toc376422235"/>
      <w:r>
        <w:t>1.</w:t>
      </w:r>
      <w:r w:rsidR="00C54939">
        <w:t>6</w:t>
      </w:r>
      <w:r>
        <w:t xml:space="preserve">.1. </w:t>
      </w:r>
      <w:r w:rsidR="0074246D">
        <w:t>Mzdové kalendáře</w:t>
      </w:r>
      <w:bookmarkEnd w:id="23"/>
    </w:p>
    <w:p w:rsidR="0074246D" w:rsidRDefault="0074246D" w:rsidP="0074246D">
      <w:r w:rsidRPr="00EC5F3D">
        <w:t xml:space="preserve">Pokud vstoupíte do nabídky Výpočet a stisknete tlačítko Nový, případně vyberete volbu Mzdový automat, může se objevit hlášení o tom, že na mzdových kartách </w:t>
      </w:r>
      <w:r w:rsidRPr="00EC5F3D">
        <w:rPr>
          <w:b/>
        </w:rPr>
        <w:t xml:space="preserve">není přiřazen správný </w:t>
      </w:r>
      <w:r w:rsidRPr="00EC5F3D">
        <w:rPr>
          <w:b/>
        </w:rPr>
        <w:lastRenderedPageBreak/>
        <w:t>druh kalendáře</w:t>
      </w:r>
      <w:r w:rsidRPr="00EC5F3D">
        <w:t>.</w:t>
      </w:r>
    </w:p>
    <w:p w:rsidR="005D67CD" w:rsidRDefault="005D67CD" w:rsidP="0074246D"/>
    <w:p w:rsidR="005D67CD" w:rsidRDefault="005D67CD" w:rsidP="00BC6310">
      <w:pPr>
        <w:jc w:val="center"/>
      </w:pPr>
      <w:r>
        <w:rPr>
          <w:noProof/>
        </w:rPr>
        <w:drawing>
          <wp:inline distT="0" distB="0" distL="0" distR="0" wp14:anchorId="46550F76" wp14:editId="483EEE85">
            <wp:extent cx="4045789" cy="1018621"/>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044165" cy="1018212"/>
                    </a:xfrm>
                    <a:prstGeom prst="rect">
                      <a:avLst/>
                    </a:prstGeom>
                  </pic:spPr>
                </pic:pic>
              </a:graphicData>
            </a:graphic>
          </wp:inline>
        </w:drawing>
      </w:r>
    </w:p>
    <w:p w:rsidR="005D67CD" w:rsidRDefault="005D67CD" w:rsidP="0074246D"/>
    <w:p w:rsidR="0074246D" w:rsidRPr="00B25451" w:rsidRDefault="0074246D" w:rsidP="0074246D">
      <w:pPr>
        <w:rPr>
          <w:b/>
        </w:rPr>
      </w:pPr>
      <w:r w:rsidRPr="00EC5F3D">
        <w:t>Tato situace nastává tehdy, jestliže používáte kalendáře s jinou než pravideln</w:t>
      </w:r>
      <w:r w:rsidR="00051A04">
        <w:t xml:space="preserve">ou pracovní dobou a pro rok </w:t>
      </w:r>
      <w:r w:rsidR="00C345B2">
        <w:t>2014</w:t>
      </w:r>
      <w:r w:rsidRPr="00EC5F3D">
        <w:t xml:space="preserve"> jste doposu</w:t>
      </w:r>
      <w:r w:rsidR="00F15C43">
        <w:t>d tyto kalendáře nenadefinovali</w:t>
      </w:r>
      <w:r w:rsidR="00B25451">
        <w:t xml:space="preserve">, respektive máte v cyklu směn jednotlivých kalendářů nastaven atribut generovat pro příští rok na </w:t>
      </w:r>
      <w:r w:rsidR="00B25451">
        <w:rPr>
          <w:b/>
        </w:rPr>
        <w:t>Negenerovat.</w:t>
      </w:r>
    </w:p>
    <w:p w:rsidR="0074246D" w:rsidRDefault="0074246D" w:rsidP="0074246D">
      <w:r w:rsidRPr="00EC5F3D">
        <w:t xml:space="preserve">Nad Výpočtem mzdy lze přes pravé tlačítko myši spustit akci </w:t>
      </w:r>
      <w:r w:rsidR="00051A04" w:rsidRPr="00051A04">
        <w:rPr>
          <w:b/>
        </w:rPr>
        <w:t>Servis</w:t>
      </w:r>
      <w:r w:rsidR="00051A04">
        <w:t xml:space="preserve">, </w:t>
      </w:r>
      <w:r w:rsidRPr="00EC5F3D">
        <w:rPr>
          <w:b/>
        </w:rPr>
        <w:t>Kontrola kalendářů</w:t>
      </w:r>
      <w:r w:rsidRPr="00EC5F3D">
        <w:t xml:space="preserve">, která zobrazí seznam zaměstnanců, kteří nemají správně přiřazen kalendář. Je nutné kalendář se </w:t>
      </w:r>
      <w:r w:rsidRPr="00EC5F3D">
        <w:rPr>
          <w:b/>
        </w:rPr>
        <w:t>stejným číslem</w:t>
      </w:r>
      <w:r w:rsidRPr="00EC5F3D">
        <w:t xml:space="preserve"> jako v předchozím roce vytvořit a v nabídce Mzdové období spustit akci Aktualizace kalendářů – Aktualizace kalendářů na kartě.</w:t>
      </w:r>
    </w:p>
    <w:p w:rsidR="002632C7" w:rsidRDefault="002632C7">
      <w:pPr>
        <w:widowControl/>
        <w:adjustRightInd/>
        <w:spacing w:line="240" w:lineRule="auto"/>
        <w:jc w:val="left"/>
        <w:textAlignment w:val="auto"/>
        <w:rPr>
          <w:b/>
        </w:rPr>
      </w:pPr>
    </w:p>
    <w:p w:rsidR="00B25451" w:rsidRDefault="00B25451" w:rsidP="00B25451">
      <w:pPr>
        <w:rPr>
          <w:b/>
        </w:rPr>
      </w:pPr>
      <w:r>
        <w:rPr>
          <w:b/>
        </w:rPr>
        <w:t>POZOR!</w:t>
      </w:r>
    </w:p>
    <w:p w:rsidR="00B25451" w:rsidRDefault="00B25451" w:rsidP="0074246D">
      <w:r>
        <w:t>V případě definování nového cyklu směn pro kalendář s nepravidelnou pracovní dobou máte možnost využít několik akcí v nabídce Akce. Jedná se o tyto akce:</w:t>
      </w:r>
    </w:p>
    <w:p w:rsidR="00BC5240" w:rsidRDefault="00BC5240" w:rsidP="0074246D"/>
    <w:p w:rsidR="00B25451" w:rsidRPr="00BC5240" w:rsidRDefault="00B25451" w:rsidP="002168A5">
      <w:pPr>
        <w:pStyle w:val="Odstavecseseznamem"/>
        <w:numPr>
          <w:ilvl w:val="0"/>
          <w:numId w:val="36"/>
        </w:numPr>
      </w:pPr>
      <w:r w:rsidRPr="00BC5240">
        <w:rPr>
          <w:b/>
        </w:rPr>
        <w:t>Posunout nahoru/dolu</w:t>
      </w:r>
      <w:r w:rsidRPr="00BC5240">
        <w:t xml:space="preserve"> - pomocí těchto akcí lze aktuálně označený řádek posouvat o jednu pozici v pořadí cyklu výše respektive níže. </w:t>
      </w:r>
    </w:p>
    <w:p w:rsidR="00B25451" w:rsidRPr="00BC5240" w:rsidRDefault="00B25451" w:rsidP="002168A5">
      <w:pPr>
        <w:pStyle w:val="Odstavecseseznamem"/>
        <w:numPr>
          <w:ilvl w:val="0"/>
          <w:numId w:val="36"/>
        </w:numPr>
      </w:pPr>
      <w:r w:rsidRPr="00BC5240">
        <w:rPr>
          <w:b/>
        </w:rPr>
        <w:t>Nový volný den</w:t>
      </w:r>
      <w:r w:rsidRPr="00BC5240">
        <w:t xml:space="preserve"> - akce přidá do cyklu směn volný den (nepracovní), do počtu hodin se přenese hodnota z denního úvazku z hlavičky kalendáře. </w:t>
      </w:r>
    </w:p>
    <w:p w:rsidR="00B25451" w:rsidRPr="00BC5240" w:rsidRDefault="00B25451" w:rsidP="002168A5">
      <w:pPr>
        <w:pStyle w:val="Odstavecseseznamem"/>
        <w:numPr>
          <w:ilvl w:val="0"/>
          <w:numId w:val="36"/>
        </w:numPr>
      </w:pPr>
      <w:r w:rsidRPr="00BC5240">
        <w:rPr>
          <w:b/>
        </w:rPr>
        <w:t>Kopírovat - vybraný den</w:t>
      </w:r>
      <w:r w:rsidRPr="00BC5240">
        <w:t xml:space="preserve"> - akce provede kopii aktuálně označeného řádku cyklu. </w:t>
      </w:r>
    </w:p>
    <w:p w:rsidR="00B25451" w:rsidRPr="00BC5240" w:rsidRDefault="00B25451" w:rsidP="002168A5">
      <w:pPr>
        <w:pStyle w:val="Odstavecseseznamem"/>
        <w:numPr>
          <w:ilvl w:val="0"/>
          <w:numId w:val="36"/>
        </w:numPr>
      </w:pPr>
      <w:r w:rsidRPr="00BC5240">
        <w:rPr>
          <w:b/>
        </w:rPr>
        <w:t xml:space="preserve">Kopírovat - cyklus směn </w:t>
      </w:r>
      <w:r w:rsidRPr="00BC5240">
        <w:t xml:space="preserve">- pomocí akce lze zkopírovat celou definici cyklu z jiného mzdového kalendáře typu nepravidelná a nerovnoměrná pracovní doba. Po spuštění akce se otevře přenosový přehled, ve kterém lze vybrat mzdový kalendář, z kterého se cyklus směn zkopíruje. </w:t>
      </w:r>
    </w:p>
    <w:p w:rsidR="00B25451" w:rsidRPr="00B25451" w:rsidRDefault="00B25451" w:rsidP="00B25451"/>
    <w:p w:rsidR="00B25451" w:rsidRDefault="00B25451" w:rsidP="00B25451">
      <w:r w:rsidRPr="00B25451">
        <w:t>V případě akcí nový volný den, kopírovat vybraný den jsou od aktuálně označeného dne cyklu zaplňovány mezery v pořadí cyklů.</w:t>
      </w:r>
    </w:p>
    <w:p w:rsidR="0074246D" w:rsidRPr="00D27400" w:rsidRDefault="00B304D9" w:rsidP="00B304D9">
      <w:pPr>
        <w:pStyle w:val="Nadpis3"/>
      </w:pPr>
      <w:bookmarkStart w:id="24" w:name="_Toc376422236"/>
      <w:r>
        <w:lastRenderedPageBreak/>
        <w:t>1.</w:t>
      </w:r>
      <w:r w:rsidR="00C54939">
        <w:t>6</w:t>
      </w:r>
      <w:r>
        <w:t xml:space="preserve">.2. </w:t>
      </w:r>
      <w:r w:rsidR="0074246D" w:rsidRPr="00D27400">
        <w:t>Hlášení související s novou legislativou</w:t>
      </w:r>
      <w:bookmarkEnd w:id="24"/>
    </w:p>
    <w:p w:rsidR="0074246D" w:rsidRDefault="0074246D" w:rsidP="000E793B">
      <w:pPr>
        <w:ind w:left="720"/>
      </w:pPr>
      <w:r w:rsidRPr="00D27400">
        <w:t xml:space="preserve">Při </w:t>
      </w:r>
      <w:r w:rsidR="007F751F">
        <w:t>spuštění</w:t>
      </w:r>
      <w:r w:rsidRPr="00D27400">
        <w:t xml:space="preserve"> výpočtu měsíce ledna</w:t>
      </w:r>
      <w:r>
        <w:t xml:space="preserve"> se </w:t>
      </w:r>
      <w:r w:rsidR="000E793B">
        <w:t>mohou objevit následující hlášky:</w:t>
      </w:r>
    </w:p>
    <w:p w:rsidR="000E793B" w:rsidRDefault="000E793B" w:rsidP="00EC1275">
      <w:pPr>
        <w:numPr>
          <w:ilvl w:val="0"/>
          <w:numId w:val="29"/>
        </w:numPr>
      </w:pPr>
      <w:r>
        <w:t>Kontrola aktuálnosti verze</w:t>
      </w:r>
    </w:p>
    <w:p w:rsidR="0074246D" w:rsidRDefault="0074246D" w:rsidP="0074246D">
      <w:pPr>
        <w:ind w:left="720"/>
      </w:pPr>
    </w:p>
    <w:p w:rsidR="0074246D" w:rsidRDefault="002208A3" w:rsidP="00BC6310">
      <w:pPr>
        <w:jc w:val="center"/>
      </w:pPr>
      <w:r>
        <w:rPr>
          <w:noProof/>
        </w:rPr>
        <w:drawing>
          <wp:inline distT="0" distB="0" distL="0" distR="0" wp14:anchorId="1B54D0BE" wp14:editId="5A7EF841">
            <wp:extent cx="3331597" cy="1248501"/>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337907" cy="1250866"/>
                    </a:xfrm>
                    <a:prstGeom prst="rect">
                      <a:avLst/>
                    </a:prstGeom>
                  </pic:spPr>
                </pic:pic>
              </a:graphicData>
            </a:graphic>
          </wp:inline>
        </w:drawing>
      </w:r>
    </w:p>
    <w:p w:rsidR="005D67CD" w:rsidRDefault="005D67CD" w:rsidP="0074246D"/>
    <w:p w:rsidR="005D67CD" w:rsidRDefault="0074246D" w:rsidP="005D67CD">
      <w:r>
        <w:t>Tato hláška se zobrazí pouze tehdy, pokud nemáte nainstalovanou aktuální verzi z hlediska legislativních změn</w:t>
      </w:r>
      <w:r w:rsidR="00051A04">
        <w:t xml:space="preserve"> pro rok </w:t>
      </w:r>
      <w:r w:rsidR="00C345B2">
        <w:t>2014</w:t>
      </w:r>
      <w:r>
        <w:t xml:space="preserve">, tzn. minimálně verzi </w:t>
      </w:r>
      <w:r w:rsidR="00C83F10">
        <w:rPr>
          <w:b/>
        </w:rPr>
        <w:t>2.0.</w:t>
      </w:r>
      <w:r w:rsidR="00C345B2">
        <w:rPr>
          <w:b/>
        </w:rPr>
        <w:t>2014</w:t>
      </w:r>
      <w:r w:rsidR="00D636F0">
        <w:rPr>
          <w:b/>
        </w:rPr>
        <w:t>.</w:t>
      </w:r>
      <w:r w:rsidR="00742D88">
        <w:rPr>
          <w:b/>
        </w:rPr>
        <w:t>____</w:t>
      </w:r>
      <w:r w:rsidR="00046D7F">
        <w:rPr>
          <w:b/>
        </w:rPr>
        <w:t>.</w:t>
      </w:r>
      <w:r w:rsidR="005D67CD">
        <w:t xml:space="preserve"> Verze </w:t>
      </w:r>
      <w:r w:rsidR="005D67CD">
        <w:rPr>
          <w:b/>
        </w:rPr>
        <w:t>2.0.</w:t>
      </w:r>
      <w:r w:rsidR="00C345B2">
        <w:rPr>
          <w:b/>
        </w:rPr>
        <w:t>201</w:t>
      </w:r>
      <w:r w:rsidR="00742D88">
        <w:rPr>
          <w:b/>
        </w:rPr>
        <w:t>3</w:t>
      </w:r>
      <w:r w:rsidR="005D67CD">
        <w:rPr>
          <w:b/>
        </w:rPr>
        <w:t>.</w:t>
      </w:r>
      <w:r w:rsidR="00742D88">
        <w:rPr>
          <w:b/>
        </w:rPr>
        <w:t>1202</w:t>
      </w:r>
      <w:r w:rsidR="005D67CD" w:rsidRPr="005D67CD">
        <w:t xml:space="preserve"> obsahuj</w:t>
      </w:r>
      <w:r w:rsidR="001B0740">
        <w:t>í</w:t>
      </w:r>
      <w:r w:rsidR="005D67CD" w:rsidRPr="005D67CD">
        <w:t xml:space="preserve"> veškeré nastavení </w:t>
      </w:r>
      <w:r w:rsidR="005D67CD">
        <w:t>mzdových konstant a výpočtu</w:t>
      </w:r>
      <w:r w:rsidR="001B0740">
        <w:t xml:space="preserve"> pro rok </w:t>
      </w:r>
      <w:r w:rsidR="00C345B2">
        <w:t>2014</w:t>
      </w:r>
      <w:r w:rsidR="005D67CD">
        <w:t xml:space="preserve">, kromě </w:t>
      </w:r>
      <w:r w:rsidR="00105966">
        <w:t xml:space="preserve">definice pro </w:t>
      </w:r>
      <w:r w:rsidR="00742D88">
        <w:t>h</w:t>
      </w:r>
      <w:r w:rsidR="00742D88" w:rsidRPr="00742D88">
        <w:t>lášení k záloze na pojistné na důchodové spoření</w:t>
      </w:r>
      <w:r w:rsidR="003B474B">
        <w:t>.</w:t>
      </w:r>
      <w:r w:rsidR="005D67CD">
        <w:t xml:space="preserve"> </w:t>
      </w:r>
      <w:r w:rsidR="001B0740">
        <w:t xml:space="preserve">Z toho důvodu je hláška ještě viditelná i v této verzi </w:t>
      </w:r>
      <w:r w:rsidR="001B0740">
        <w:rPr>
          <w:b/>
        </w:rPr>
        <w:t>2.0.</w:t>
      </w:r>
      <w:r w:rsidR="00C345B2">
        <w:rPr>
          <w:b/>
        </w:rPr>
        <w:t>201</w:t>
      </w:r>
      <w:r w:rsidR="00742D88">
        <w:rPr>
          <w:b/>
        </w:rPr>
        <w:t>3</w:t>
      </w:r>
      <w:r w:rsidR="001B0740">
        <w:rPr>
          <w:b/>
        </w:rPr>
        <w:t>.</w:t>
      </w:r>
      <w:r w:rsidR="00742D88">
        <w:rPr>
          <w:b/>
        </w:rPr>
        <w:t>1202</w:t>
      </w:r>
      <w:r w:rsidR="001B0740">
        <w:t>.</w:t>
      </w:r>
    </w:p>
    <w:p w:rsidR="006323E9" w:rsidRDefault="006323E9" w:rsidP="005D67CD"/>
    <w:p w:rsidR="006323E9" w:rsidRDefault="006323E9" w:rsidP="006323E9">
      <w:pPr>
        <w:pStyle w:val="Odstavecseseznamem"/>
        <w:numPr>
          <w:ilvl w:val="0"/>
          <w:numId w:val="29"/>
        </w:numPr>
      </w:pPr>
      <w:r>
        <w:t>Kontrola nastavení srážkové daně</w:t>
      </w:r>
    </w:p>
    <w:p w:rsidR="006323E9" w:rsidRDefault="006323E9" w:rsidP="006323E9">
      <w:pPr>
        <w:pStyle w:val="Odstavecseseznamem"/>
        <w:ind w:left="1080"/>
      </w:pPr>
    </w:p>
    <w:p w:rsidR="006323E9" w:rsidRDefault="006323E9" w:rsidP="006323E9">
      <w:pPr>
        <w:pStyle w:val="Odstavecseseznamem"/>
        <w:ind w:left="1080"/>
      </w:pPr>
      <w:r>
        <w:rPr>
          <w:noProof/>
        </w:rPr>
        <w:drawing>
          <wp:inline distT="0" distB="0" distL="0" distR="0" wp14:anchorId="7AB698EC" wp14:editId="4A15A0CD">
            <wp:extent cx="5372100" cy="165735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372100" cy="1657350"/>
                    </a:xfrm>
                    <a:prstGeom prst="rect">
                      <a:avLst/>
                    </a:prstGeom>
                  </pic:spPr>
                </pic:pic>
              </a:graphicData>
            </a:graphic>
          </wp:inline>
        </w:drawing>
      </w:r>
    </w:p>
    <w:p w:rsidR="00245D72" w:rsidRDefault="00245D72" w:rsidP="00245D72">
      <w:pPr>
        <w:pStyle w:val="Odstavecseseznamem"/>
        <w:ind w:left="1080"/>
        <w:jc w:val="center"/>
      </w:pPr>
    </w:p>
    <w:p w:rsidR="00BC6310" w:rsidRDefault="00BC5240" w:rsidP="00245D72">
      <w:r>
        <w:t xml:space="preserve">Tato hláška se zobrazuje v případě, </w:t>
      </w:r>
      <w:r w:rsidR="00BC6310">
        <w:t>že existují zaměstnanci, kteří k 1.</w:t>
      </w:r>
      <w:r w:rsidR="006323E9">
        <w:t xml:space="preserve"> </w:t>
      </w:r>
      <w:r w:rsidR="00BC6310">
        <w:t>1.</w:t>
      </w:r>
      <w:r w:rsidR="006323E9">
        <w:t xml:space="preserve"> </w:t>
      </w:r>
      <w:r w:rsidR="00C345B2">
        <w:t>2014</w:t>
      </w:r>
      <w:r w:rsidR="00BC6310">
        <w:t xml:space="preserve"> </w:t>
      </w:r>
      <w:r w:rsidR="006323E9">
        <w:t xml:space="preserve">mají v pracovních poměrech, které nejsou dohodou o provedení práce, ve mzdových údajích na záložce Odvody a podzáložce Daně nastavenou srážkovou daň (většinou se jedná o </w:t>
      </w:r>
      <w:r w:rsidR="006323E9" w:rsidRPr="006323E9">
        <w:rPr>
          <w:b/>
        </w:rPr>
        <w:t>typ daně 1</w:t>
      </w:r>
      <w:r w:rsidR="006323E9">
        <w:t xml:space="preserve">). </w:t>
      </w:r>
      <w:r w:rsidR="00EC4440">
        <w:t>Kontroly jsou dále zapojeny při uzavření editoru Mzdových údajů.</w:t>
      </w:r>
    </w:p>
    <w:p w:rsidR="00EC4440" w:rsidRDefault="00EC4440" w:rsidP="00EC4440">
      <w:pPr>
        <w:pStyle w:val="Odstavecseseznamem"/>
        <w:ind w:left="1080"/>
      </w:pPr>
    </w:p>
    <w:p w:rsidR="00184690" w:rsidRPr="00245D72" w:rsidRDefault="00184690" w:rsidP="00EC1275">
      <w:pPr>
        <w:pStyle w:val="Odstavecseseznamem"/>
        <w:numPr>
          <w:ilvl w:val="0"/>
          <w:numId w:val="29"/>
        </w:numPr>
      </w:pPr>
      <w:r w:rsidRPr="00245D72">
        <w:t>Kontrola nastavení S</w:t>
      </w:r>
      <w:r w:rsidR="006161AC">
        <w:t>lev na dani</w:t>
      </w:r>
      <w:r w:rsidR="006A3993">
        <w:t xml:space="preserve"> a</w:t>
      </w:r>
      <w:r w:rsidR="006161AC">
        <w:t xml:space="preserve"> daňových zvýhodnění</w:t>
      </w:r>
    </w:p>
    <w:p w:rsidR="000E793B" w:rsidRDefault="000E793B" w:rsidP="00EC1275">
      <w:pPr>
        <w:numPr>
          <w:ilvl w:val="0"/>
          <w:numId w:val="29"/>
        </w:numPr>
      </w:pPr>
      <w:r>
        <w:t>Kontrola nastavení maximálních vyměřovacích základů</w:t>
      </w:r>
    </w:p>
    <w:p w:rsidR="005B7461" w:rsidRDefault="005B7461" w:rsidP="000E793B"/>
    <w:p w:rsidR="004F03FE" w:rsidRDefault="00FE488B" w:rsidP="005B7461">
      <w:r>
        <w:t>Hlášky c</w:t>
      </w:r>
      <w:r w:rsidR="005B7461">
        <w:t xml:space="preserve">) – d) se objeví v případě, kdy nejsou správně nastaveny konstanty. </w:t>
      </w:r>
    </w:p>
    <w:p w:rsidR="005B7461" w:rsidRDefault="005B7461" w:rsidP="005B7461">
      <w:r>
        <w:t>Jestliže máte nainstalovanou aktuální verzi a provedli jste aktualizaci konstant, nemohou se hlášky objevit.</w:t>
      </w:r>
    </w:p>
    <w:p w:rsidR="005B7461" w:rsidRPr="000E793B" w:rsidRDefault="00D43572" w:rsidP="000E793B">
      <w:r>
        <w:br w:type="page"/>
      </w:r>
    </w:p>
    <w:p w:rsidR="0074246D" w:rsidRDefault="00CA038C" w:rsidP="0074246D">
      <w:pPr>
        <w:pStyle w:val="Nadpis1"/>
        <w:numPr>
          <w:ilvl w:val="0"/>
          <w:numId w:val="1"/>
        </w:numPr>
      </w:pPr>
      <w:bookmarkStart w:id="25" w:name="_Toc376422237"/>
      <w:bookmarkEnd w:id="1"/>
      <w:r>
        <w:lastRenderedPageBreak/>
        <w:t>Sociální pojištění</w:t>
      </w:r>
      <w:r w:rsidR="00E10C2F">
        <w:t xml:space="preserve"> od roku </w:t>
      </w:r>
      <w:r w:rsidR="00C345B2">
        <w:t>2014</w:t>
      </w:r>
      <w:bookmarkEnd w:id="25"/>
    </w:p>
    <w:p w:rsidR="00333BA1" w:rsidRDefault="00333BA1" w:rsidP="00333BA1">
      <w:pPr>
        <w:rPr>
          <w:b/>
        </w:rPr>
      </w:pPr>
      <w:r w:rsidRPr="00CA038C">
        <w:t xml:space="preserve">Zákon o sociálním pojištění </w:t>
      </w:r>
      <w:r w:rsidRPr="005432DE">
        <w:rPr>
          <w:b/>
        </w:rPr>
        <w:t>589/1992 Sb.</w:t>
      </w:r>
    </w:p>
    <w:p w:rsidR="00803539" w:rsidRDefault="00803539" w:rsidP="00803539">
      <w:pPr>
        <w:pStyle w:val="Nadpis2"/>
        <w:numPr>
          <w:ilvl w:val="1"/>
          <w:numId w:val="1"/>
        </w:numPr>
      </w:pPr>
      <w:bookmarkStart w:id="26" w:name="_Toc376422238"/>
      <w:r>
        <w:t>Zaměstnání malého rozsahu</w:t>
      </w:r>
      <w:bookmarkEnd w:id="26"/>
    </w:p>
    <w:p w:rsidR="00803539" w:rsidRDefault="00803539" w:rsidP="00803539">
      <w:r>
        <w:t>V 187/2006 Sb § 7 se doplňuje odstavec 4, který zní:</w:t>
      </w:r>
    </w:p>
    <w:p w:rsidR="00803539" w:rsidRDefault="00803539" w:rsidP="00803539">
      <w:r>
        <w:t xml:space="preserve">„(4) Zaměstnanci jsou účastni pojištění též, pokud zaměstnanec vykonával v kalendářním měsíci u téhož zaměstnavatele více zaměstnání malého rozsahu a úhrn započitatelných příjmů z těchto zaměstnání dosáhl v kalendářním měsíci aspoň částku rozhodného příjmu; zaměstnanci jsou účastni pojištění nejvýše po dobu trvání takových zaměstnání v tomto kalendářním měsíci. Za téhož zaměstnavatele se přitom považuje též právní nástupce zaměstnavatele. </w:t>
      </w:r>
    </w:p>
    <w:p w:rsidR="00803539" w:rsidRDefault="00803539" w:rsidP="00803539"/>
    <w:p w:rsidR="00803539" w:rsidRDefault="00803539" w:rsidP="00803539">
      <w:r>
        <w:t xml:space="preserve">V případě zaměstnání malého rozsahu se dosažení RP posuzuje za měsíc podle úhrnu ze všech zaměstnání MR zaměstnance u jednoho plátce (obdobně jako u DPP, jen limit je nižší a to </w:t>
      </w:r>
      <w:r w:rsidRPr="00803539">
        <w:t>2</w:t>
      </w:r>
      <w:r>
        <w:t> </w:t>
      </w:r>
      <w:r w:rsidRPr="00803539">
        <w:t>500</w:t>
      </w:r>
      <w:r>
        <w:t>).</w:t>
      </w:r>
    </w:p>
    <w:p w:rsidR="00803539" w:rsidRDefault="00803539" w:rsidP="00803539">
      <w:r>
        <w:t xml:space="preserve">Nesčítají se zaměstnání MR a DPP – tyto typy pracovněprávních poměrů se vyhodnocují samostatně. </w:t>
      </w:r>
    </w:p>
    <w:p w:rsidR="00803539" w:rsidRDefault="00803539" w:rsidP="00803539">
      <w:pPr>
        <w:pStyle w:val="Nadpis2"/>
        <w:numPr>
          <w:ilvl w:val="2"/>
          <w:numId w:val="1"/>
        </w:numPr>
      </w:pPr>
      <w:bookmarkStart w:id="27" w:name="_Toc376422239"/>
      <w:r w:rsidRPr="00C8069D">
        <w:t>Z hlediska programu Helios Orange</w:t>
      </w:r>
      <w:bookmarkEnd w:id="27"/>
    </w:p>
    <w:p w:rsidR="00803539" w:rsidRDefault="00803539" w:rsidP="00803539">
      <w:r>
        <w:t xml:space="preserve">Nastavení mzdových údajů v případě zaměstnání malého rozsahu se oproti loňským rokům nemění (v editoru mzdových údajů na záložce </w:t>
      </w:r>
      <w:r w:rsidRPr="00803539">
        <w:rPr>
          <w:b/>
        </w:rPr>
        <w:t>Odvody, Sociální pojištění</w:t>
      </w:r>
      <w:r>
        <w:t xml:space="preserve">). Co se mění, je způsob výpočtu odvodu sociální pojištění v případě více pracovních poměrů malého rozsahu jednoho zaměstnance. </w:t>
      </w:r>
    </w:p>
    <w:p w:rsidR="00803539" w:rsidRDefault="00803539" w:rsidP="00803539"/>
    <w:p w:rsidR="00803539" w:rsidRDefault="00803539" w:rsidP="00803539">
      <w:pPr>
        <w:jc w:val="center"/>
      </w:pPr>
      <w:r>
        <w:rPr>
          <w:noProof/>
        </w:rPr>
        <w:drawing>
          <wp:inline distT="0" distB="0" distL="0" distR="0" wp14:anchorId="22D2124F" wp14:editId="75298334">
            <wp:extent cx="3588982" cy="1311966"/>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592161" cy="1313128"/>
                    </a:xfrm>
                    <a:prstGeom prst="rect">
                      <a:avLst/>
                    </a:prstGeom>
                  </pic:spPr>
                </pic:pic>
              </a:graphicData>
            </a:graphic>
          </wp:inline>
        </w:drawing>
      </w:r>
    </w:p>
    <w:p w:rsidR="00803539" w:rsidRDefault="00803539" w:rsidP="00803539"/>
    <w:p w:rsidR="00803539" w:rsidRDefault="00803539" w:rsidP="00803539">
      <w:r>
        <w:lastRenderedPageBreak/>
        <w:t xml:space="preserve">Pokud při výpočtu mzdy pracovního poměru MR je v součtu základů na SP za všechny pracovní poměry nastavené na MR dosažena </w:t>
      </w:r>
      <w:r w:rsidRPr="00803539">
        <w:rPr>
          <w:b/>
        </w:rPr>
        <w:t>hranice 2 500</w:t>
      </w:r>
      <w:r>
        <w:t xml:space="preserve"> je automaticky proveden výpočet odvodů SP. Pokud existují další výpočty pracovních poměrů MR zaměstnance (posuzuje se dle rodného čísla zaměstnance) musí se tyto výpočty nechat přepočítat pomocí akce místní nabídky Přepočet mezd, chybné. Pokud přepočet neprovedete, bude u těchto výpočtů nastaven chybový stav </w:t>
      </w:r>
      <w:r w:rsidRPr="00803539">
        <w:rPr>
          <w:b/>
        </w:rPr>
        <w:t>DPP/MR-hranice</w:t>
      </w:r>
      <w:r>
        <w:t xml:space="preserve">. </w:t>
      </w:r>
    </w:p>
    <w:p w:rsidR="00803539" w:rsidRDefault="00803539" w:rsidP="00803539"/>
    <w:p w:rsidR="00803539" w:rsidRPr="00D55663" w:rsidRDefault="00803539" w:rsidP="00803539">
      <w:pPr>
        <w:rPr>
          <w:i/>
        </w:rPr>
      </w:pPr>
      <w:r w:rsidRPr="00D55663">
        <w:rPr>
          <w:i/>
        </w:rPr>
        <w:t>Mzdová složka pro opravu Základny sociálního pojištění (MS 901)</w:t>
      </w:r>
      <w:r w:rsidR="00D55663" w:rsidRPr="00D55663">
        <w:rPr>
          <w:i/>
        </w:rPr>
        <w:t xml:space="preserve"> </w:t>
      </w:r>
      <w:r w:rsidR="00D55663">
        <w:rPr>
          <w:i/>
        </w:rPr>
        <w:t>ovlivňuje vlastní základ na sociální pojištění a tedy je i součástí sumy, která se posuzuje k hranici 2 5000.</w:t>
      </w:r>
    </w:p>
    <w:p w:rsidR="00803539" w:rsidRDefault="00803539" w:rsidP="00803539"/>
    <w:p w:rsidR="00803539" w:rsidRDefault="00803539" w:rsidP="00803539">
      <w:r>
        <w:t>Po měsíční uzávěrce zaměstnance se každému pracovnímu poměru MR vygeneruje Roční evidenční list důchodového pojištění, který je vyplněn dle metodiky pro zaměstnání malého rozsahu. ELDP je generován v případě, došlo</w:t>
      </w:r>
      <w:r w:rsidR="00D55663">
        <w:t>-</w:t>
      </w:r>
      <w:r>
        <w:t xml:space="preserve">li v rámci pracovního poměru k prvnímu odvodu SP. </w:t>
      </w:r>
    </w:p>
    <w:p w:rsidR="00803539" w:rsidRDefault="00803539" w:rsidP="00803539"/>
    <w:p w:rsidR="00803539" w:rsidRDefault="00803539" w:rsidP="000B4CC9">
      <w:r>
        <w:t xml:space="preserve">V přehledu </w:t>
      </w:r>
      <w:r w:rsidRPr="00D55663">
        <w:rPr>
          <w:b/>
        </w:rPr>
        <w:t>Oznámení na OSSZ/PSSZ</w:t>
      </w:r>
      <w:r>
        <w:t xml:space="preserve"> je funkcionalita upravena o pořízení přihlášek a odhlášek pro druh pracovního poměru MR.</w:t>
      </w:r>
      <w:r w:rsidR="00D55663">
        <w:t xml:space="preserve"> </w:t>
      </w:r>
      <w:r>
        <w:t>Oznámení typu přihláška je vygenerována v případě prvního odvodu SP za pracovní poměr</w:t>
      </w:r>
      <w:r w:rsidR="00D55663">
        <w:t xml:space="preserve"> zaměstnance (generování je závi</w:t>
      </w:r>
      <w:r>
        <w:t xml:space="preserve">slé na výpočtu mzdy pracovního poměru) nebo je ji možné vygenerovat ihned při </w:t>
      </w:r>
      <w:r w:rsidR="00D55663">
        <w:t>zadání</w:t>
      </w:r>
      <w:r>
        <w:t xml:space="preserve"> pracovního poměru v </w:t>
      </w:r>
      <w:r w:rsidR="00D55663">
        <w:t>editoru</w:t>
      </w:r>
      <w:r>
        <w:t xml:space="preserve"> mzdových údajů.</w:t>
      </w:r>
    </w:p>
    <w:p w:rsidR="00D55663" w:rsidRDefault="00D55663" w:rsidP="000B4CC9"/>
    <w:p w:rsidR="004F03FE" w:rsidRDefault="00313334" w:rsidP="00CA038C">
      <w:pPr>
        <w:pStyle w:val="Nadpis2"/>
      </w:pPr>
      <w:bookmarkStart w:id="28" w:name="_Toc376422240"/>
      <w:r>
        <w:t>Max. vyměřovací základ</w:t>
      </w:r>
      <w:bookmarkEnd w:id="28"/>
    </w:p>
    <w:p w:rsidR="00313334" w:rsidRDefault="006146D8" w:rsidP="00313334">
      <w:r>
        <w:t>Mění</w:t>
      </w:r>
      <w:r w:rsidR="00313334" w:rsidRPr="00313334">
        <w:t xml:space="preserve"> se maximální vyměřovací základ pro placení pojistného, a to na </w:t>
      </w:r>
      <w:r>
        <w:rPr>
          <w:b/>
        </w:rPr>
        <w:t xml:space="preserve">48 </w:t>
      </w:r>
      <w:r w:rsidR="00313334" w:rsidRPr="00313334">
        <w:rPr>
          <w:b/>
        </w:rPr>
        <w:t>násobek</w:t>
      </w:r>
      <w:r w:rsidR="005432DE">
        <w:rPr>
          <w:b/>
        </w:rPr>
        <w:t xml:space="preserve"> průměrné mzdy</w:t>
      </w:r>
      <w:r w:rsidR="00313334" w:rsidRPr="00313334">
        <w:t xml:space="preserve">, tedy z částky </w:t>
      </w:r>
      <w:r w:rsidR="006A3993">
        <w:t>1 242 432</w:t>
      </w:r>
      <w:r w:rsidR="001C42BE" w:rsidRPr="004422D9">
        <w:rPr>
          <w:b/>
        </w:rPr>
        <w:t xml:space="preserve"> </w:t>
      </w:r>
      <w:r w:rsidR="00313334" w:rsidRPr="00313334">
        <w:t xml:space="preserve">Kč platné pro rok </w:t>
      </w:r>
      <w:r w:rsidR="00C345B2">
        <w:t>2013</w:t>
      </w:r>
      <w:r w:rsidR="00313334" w:rsidRPr="00313334">
        <w:t xml:space="preserve"> na částku </w:t>
      </w:r>
      <w:r w:rsidR="006A3993" w:rsidRPr="006A3993">
        <w:rPr>
          <w:b/>
        </w:rPr>
        <w:t>1</w:t>
      </w:r>
      <w:r w:rsidR="006A3993">
        <w:rPr>
          <w:b/>
        </w:rPr>
        <w:t xml:space="preserve"> </w:t>
      </w:r>
      <w:r w:rsidR="006A3993" w:rsidRPr="006A3993">
        <w:rPr>
          <w:b/>
        </w:rPr>
        <w:t>245</w:t>
      </w:r>
      <w:r w:rsidR="006A3993">
        <w:rPr>
          <w:b/>
        </w:rPr>
        <w:t xml:space="preserve"> </w:t>
      </w:r>
      <w:r w:rsidR="006A3993" w:rsidRPr="006A3993">
        <w:rPr>
          <w:b/>
        </w:rPr>
        <w:t>216</w:t>
      </w:r>
      <w:r w:rsidR="00313334" w:rsidRPr="004422D9">
        <w:rPr>
          <w:b/>
        </w:rPr>
        <w:t>Kč</w:t>
      </w:r>
      <w:r w:rsidR="00313334" w:rsidRPr="00313334">
        <w:t xml:space="preserve"> platnou pro rok </w:t>
      </w:r>
      <w:r w:rsidR="00C345B2">
        <w:t>2014</w:t>
      </w:r>
      <w:r w:rsidR="00313334" w:rsidRPr="00313334">
        <w:t>.</w:t>
      </w:r>
    </w:p>
    <w:p w:rsidR="00EE02F9" w:rsidRDefault="00EE02F9" w:rsidP="00313334"/>
    <w:p w:rsidR="00DB03F1" w:rsidRPr="00C8069D" w:rsidRDefault="00DB03F1" w:rsidP="00EE02F9">
      <w:pPr>
        <w:pStyle w:val="Nadpis2"/>
        <w:numPr>
          <w:ilvl w:val="2"/>
          <w:numId w:val="8"/>
        </w:numPr>
      </w:pPr>
      <w:bookmarkStart w:id="29" w:name="_Toc376422241"/>
      <w:r w:rsidRPr="00C8069D">
        <w:t>Z hlediska programu Helios Orange</w:t>
      </w:r>
      <w:bookmarkEnd w:id="29"/>
    </w:p>
    <w:p w:rsidR="00DB03F1" w:rsidRDefault="00DB03F1" w:rsidP="00DB03F1">
      <w:r>
        <w:t xml:space="preserve">Konstanty a číselníky, DNP a pojištění, </w:t>
      </w:r>
      <w:r w:rsidR="006146D8">
        <w:t>sekce Sociální p</w:t>
      </w:r>
      <w:r>
        <w:t xml:space="preserve">ojištění, položka </w:t>
      </w:r>
      <w:r>
        <w:rPr>
          <w:b/>
        </w:rPr>
        <w:t xml:space="preserve">Maximální VZ (rok) </w:t>
      </w:r>
    </w:p>
    <w:p w:rsidR="00DB03F1" w:rsidRDefault="00DB03F1" w:rsidP="00313334"/>
    <w:p w:rsidR="00667C18" w:rsidRDefault="006A3993" w:rsidP="00EF4E84">
      <w:pPr>
        <w:jc w:val="center"/>
      </w:pPr>
      <w:r>
        <w:rPr>
          <w:noProof/>
        </w:rPr>
        <w:lastRenderedPageBreak/>
        <w:drawing>
          <wp:inline distT="0" distB="0" distL="0" distR="0">
            <wp:extent cx="6114415" cy="3172460"/>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4415" cy="3172460"/>
                    </a:xfrm>
                    <a:prstGeom prst="rect">
                      <a:avLst/>
                    </a:prstGeom>
                    <a:noFill/>
                    <a:ln>
                      <a:noFill/>
                    </a:ln>
                  </pic:spPr>
                </pic:pic>
              </a:graphicData>
            </a:graphic>
          </wp:inline>
        </w:drawing>
      </w:r>
    </w:p>
    <w:p w:rsidR="00313334" w:rsidRPr="00313334" w:rsidRDefault="00313334" w:rsidP="00313334"/>
    <w:p w:rsidR="005679B5" w:rsidRDefault="005679B5">
      <w:pPr>
        <w:widowControl/>
        <w:adjustRightInd/>
        <w:spacing w:line="240" w:lineRule="auto"/>
        <w:jc w:val="left"/>
        <w:textAlignment w:val="auto"/>
        <w:rPr>
          <w:rFonts w:cs="Arial"/>
          <w:b/>
          <w:bCs/>
          <w:caps/>
          <w:kern w:val="32"/>
          <w:sz w:val="32"/>
          <w:szCs w:val="32"/>
        </w:rPr>
      </w:pPr>
      <w:r>
        <w:br w:type="page"/>
      </w:r>
    </w:p>
    <w:p w:rsidR="004F03FE" w:rsidRDefault="00EE02F9" w:rsidP="006A3993">
      <w:pPr>
        <w:pStyle w:val="Nadpis1"/>
        <w:numPr>
          <w:ilvl w:val="0"/>
          <w:numId w:val="1"/>
        </w:numPr>
      </w:pPr>
      <w:bookmarkStart w:id="30" w:name="_Toc376422242"/>
      <w:r>
        <w:lastRenderedPageBreak/>
        <w:t>Důchodové spoření – druhý pilíř</w:t>
      </w:r>
      <w:bookmarkEnd w:id="30"/>
    </w:p>
    <w:p w:rsidR="00EE02F9" w:rsidRDefault="00EE02F9" w:rsidP="005A03CD">
      <w:r w:rsidRPr="00EE02F9">
        <w:t>Zákon</w:t>
      </w:r>
      <w:r w:rsidR="00545FDE">
        <w:t xml:space="preserve"> </w:t>
      </w:r>
      <w:r w:rsidRPr="00EE02F9">
        <w:t>397/</w:t>
      </w:r>
      <w:r w:rsidR="00C345B2">
        <w:t>2013</w:t>
      </w:r>
      <w:r w:rsidRPr="00EE02F9">
        <w:t xml:space="preserve"> Sb. Zákon o důchodovém spoření</w:t>
      </w:r>
    </w:p>
    <w:p w:rsidR="00545FDE" w:rsidRDefault="006A3993" w:rsidP="006A3993">
      <w:pPr>
        <w:pStyle w:val="Nadpis2"/>
      </w:pPr>
      <w:bookmarkStart w:id="31" w:name="_Toc376422243"/>
      <w:r>
        <w:t>Vyúčtování důchodového spoření</w:t>
      </w:r>
      <w:bookmarkEnd w:id="31"/>
    </w:p>
    <w:p w:rsidR="003B3889" w:rsidRDefault="003B3889" w:rsidP="003B3889">
      <w:r>
        <w:t xml:space="preserve">Vyúčtování pojistného na důchodové spoření za pojistné období roku 2013 je po uplynutí tohoto pojistného období povinen plátce pojistného, plátcova pokladna pro pojistné na důchodové spoření podat příslušnému finančnímu úřadu do 1. dubna 2014 (§ 137 odst. 2 zákona č. 280/2009 Sb., daňový řád, ve znění pozdějších předpisů, případně z důvodů a ve lhůtách uvedených pod bodem 03. Vyúčtování se podává v souladu s § 26 zákona č. 397/2012 Sb., o pojistném na důchodové spoření pouze elektronicky. </w:t>
      </w:r>
    </w:p>
    <w:p w:rsidR="003B3889" w:rsidRDefault="003B3889" w:rsidP="003B3889"/>
    <w:p w:rsidR="003B3889" w:rsidRDefault="003B3889" w:rsidP="003B3889">
      <w:r>
        <w:t xml:space="preserve">Plátce pojistného, který provádí opravy na pojistném, které nebyly součástí následného hlášení k záloze na pojistné na důchodové spoření za vykazované zálohové období, je povinen zároveň vyplnit Přílohu č. 1, která je součástí tohoto Vyúčtování. Příloha č. 1 je povinnou přílohou dodatečného Vyúčtování. </w:t>
      </w:r>
    </w:p>
    <w:p w:rsidR="003B3889" w:rsidRDefault="003B3889" w:rsidP="003B3889"/>
    <w:p w:rsidR="003B3889" w:rsidRDefault="003B3889" w:rsidP="003B3889">
      <w:r>
        <w:t xml:space="preserve">Tiskopis slouží k podání řádného Vyúčtování, nebo opravného Vyúčtování, které je možno podat před uplynutím lhůty pro podání řádného Vyúčtování nebo dodatečného Vyúčtování (resp. opravného dodatečného Vyúčtování), které podáte, zjistíte-li po lhůtě pro podání řádného Vyúčtování, že vyúčtovaná částka má být vyšší či nižší, než byla tvrzena, nebo správcem daně vyměřena. Opravné dodatečné Vyúčtování můžete podat před uplynutím lhůty pro podání dodatečného Vyúčtování. </w:t>
      </w:r>
    </w:p>
    <w:p w:rsidR="003B3889" w:rsidRDefault="003B3889" w:rsidP="003B3889"/>
    <w:p w:rsidR="006A3993" w:rsidRDefault="006A3993" w:rsidP="006A3993">
      <w:pPr>
        <w:pStyle w:val="Nadpis2"/>
        <w:numPr>
          <w:ilvl w:val="2"/>
          <w:numId w:val="8"/>
        </w:numPr>
      </w:pPr>
      <w:bookmarkStart w:id="32" w:name="_Toc376422244"/>
      <w:r w:rsidRPr="00C8069D">
        <w:t>Z hlediska programu Helios Orange</w:t>
      </w:r>
      <w:bookmarkEnd w:id="32"/>
    </w:p>
    <w:p w:rsidR="00704B35" w:rsidRDefault="00704B35" w:rsidP="00704B35">
      <w:r>
        <w:t xml:space="preserve">Ve stromečku pod složkou Roční sestavy najdete přehled Roční vyúčtování důchodového spoření. Přehled je filtrován dle roku mzdového období. </w:t>
      </w:r>
    </w:p>
    <w:p w:rsidR="00704B35" w:rsidRDefault="00704B35" w:rsidP="00704B35"/>
    <w:p w:rsidR="00704B35" w:rsidRPr="00704B35" w:rsidRDefault="00704B35" w:rsidP="00704B35">
      <w:pPr>
        <w:rPr>
          <w:i/>
        </w:rPr>
      </w:pPr>
      <w:r w:rsidRPr="00704B35">
        <w:rPr>
          <w:i/>
        </w:rPr>
        <w:t xml:space="preserve">V případě roku 2013 musíte mít přehled zafiltrován za jedno z období spadající právě do roku 2013 (nejlépe prosinec 2013)  </w:t>
      </w:r>
    </w:p>
    <w:p w:rsidR="00704B35" w:rsidRDefault="00704B35" w:rsidP="00704B35"/>
    <w:p w:rsidR="00704B35" w:rsidRDefault="00704B35" w:rsidP="00704B35">
      <w:r>
        <w:lastRenderedPageBreak/>
        <w:t xml:space="preserve">Záznamy za rodné číslo zaměstnance nejsou generovány automaticky, ale zakládáte je pomocí tlačítka Nový. Po stisknutí tlačítka se Vám zobrazí seznam zaměstnanců a jejich rodných čísel, kteří mají alespoň v jednom mzdovém období během roku uvedeno ve mzdových údajích </w:t>
      </w:r>
      <w:r w:rsidRPr="00704B35">
        <w:rPr>
          <w:b/>
        </w:rPr>
        <w:t>Datum OD</w:t>
      </w:r>
      <w:r>
        <w:t xml:space="preserve"> pro důchodové spoření.</w:t>
      </w:r>
    </w:p>
    <w:p w:rsidR="00704B35" w:rsidRDefault="00704B35" w:rsidP="0092479A">
      <w:pPr>
        <w:pStyle w:val="Nadpis5"/>
        <w:numPr>
          <w:ilvl w:val="3"/>
          <w:numId w:val="8"/>
        </w:numPr>
      </w:pPr>
      <w:r w:rsidRPr="00704B35">
        <w:t>Editor vyúčtování a vnořený přehled položek</w:t>
      </w:r>
    </w:p>
    <w:p w:rsidR="00704B35" w:rsidRDefault="00704B35" w:rsidP="00704B35">
      <w:r w:rsidRPr="00704B35">
        <w:t>Editor vyúčtování zastupuje jeden případ vyúčtování důchodového spoření. Obsahuje sumační částky základu důchodového spoření, vypočtenou zálohu důchodového spoření a odvod důchodového spoření vyčíslené v hodnotách z jednotlivých období roku.</w:t>
      </w:r>
    </w:p>
    <w:p w:rsidR="00704B35" w:rsidRDefault="00704B35" w:rsidP="00704B35"/>
    <w:p w:rsidR="00704B35" w:rsidRDefault="00704B35" w:rsidP="00704B35">
      <w:r>
        <w:t xml:space="preserve">Vnořený přehled obsahuje jednotlivá mzdová období, kdy se alespoň jeden pracovní poměr zaměstnance nacházel v evidenčním stavu a byla mu vypočtena záloha na důchodové spoření. Uvádí se i nulová vypočtená záloha (např. zaměstnanec byl práce neschopný) </w:t>
      </w:r>
    </w:p>
    <w:p w:rsidR="00704B35" w:rsidRDefault="00704B35" w:rsidP="00704B35"/>
    <w:p w:rsidR="00704B35" w:rsidRDefault="00704B35" w:rsidP="00704B35">
      <w:r>
        <w:t xml:space="preserve">Záznamy přehledu se generují z údajů ve výpočtu mzdy. V případě existence více pracovních poměrů jsou hodnoty sčítány do jednoho záznamu ze všech pracovních poměrů za rodné číslo. </w:t>
      </w:r>
    </w:p>
    <w:p w:rsidR="00704B35" w:rsidRDefault="00704B35" w:rsidP="00704B35"/>
    <w:p w:rsidR="00704B35" w:rsidRDefault="00704B35" w:rsidP="00704B35">
      <w:r>
        <w:t xml:space="preserve">Editor záznamu obsahuje položky, které jsou v drtivé většině načteny z výpočtu mzdy jednotlivých mzdových období. Záznamy mají příznak pořízeno "Generováno". </w:t>
      </w:r>
    </w:p>
    <w:p w:rsidR="00597201" w:rsidRDefault="00597201" w:rsidP="00704B35"/>
    <w:p w:rsidR="00597201" w:rsidRDefault="00597201" w:rsidP="00597201">
      <w:pPr>
        <w:jc w:val="center"/>
      </w:pPr>
      <w:r>
        <w:rPr>
          <w:noProof/>
          <w:color w:val="0000FF"/>
        </w:rPr>
        <w:lastRenderedPageBreak/>
        <w:drawing>
          <wp:inline distT="0" distB="0" distL="0" distR="0">
            <wp:extent cx="3586038" cy="3562010"/>
            <wp:effectExtent l="0" t="0" r="0" b="0"/>
            <wp:docPr id="20" name="Obrázek 20" descr="https://forum.helios.eu/orange/doc/.uploadcs/Mzdy_VDS_Formular_01.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orum.helios.eu/orange/doc/.uploadcs/Mzdy_VDS_Formular_01.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00209" cy="3576086"/>
                    </a:xfrm>
                    <a:prstGeom prst="rect">
                      <a:avLst/>
                    </a:prstGeom>
                    <a:noFill/>
                    <a:ln>
                      <a:noFill/>
                    </a:ln>
                  </pic:spPr>
                </pic:pic>
              </a:graphicData>
            </a:graphic>
          </wp:inline>
        </w:drawing>
      </w:r>
    </w:p>
    <w:p w:rsidR="00704B35" w:rsidRDefault="00704B35" w:rsidP="0092479A">
      <w:pPr>
        <w:pStyle w:val="Nadpis5"/>
        <w:numPr>
          <w:ilvl w:val="3"/>
          <w:numId w:val="8"/>
        </w:numPr>
      </w:pPr>
      <w:r w:rsidRPr="0092479A">
        <w:t>Nový záznam při řádném vyúčtování nebo generované záznamy</w:t>
      </w:r>
      <w:r>
        <w:t xml:space="preserve"> </w:t>
      </w:r>
    </w:p>
    <w:p w:rsidR="00704B35" w:rsidRDefault="00704B35" w:rsidP="00704B35">
      <w:r>
        <w:t xml:space="preserve">V přehledu lze otevřít generované záznamy pomocí tlačítka Oprava nebo případně zadávat nové záznamy na tlačítko Nový. Takto vytvořené záznamy budou mít příznak pořízeno "Ručně". </w:t>
      </w:r>
    </w:p>
    <w:p w:rsidR="00704B35" w:rsidRDefault="00704B35" w:rsidP="00704B35"/>
    <w:p w:rsidR="00704B35" w:rsidRPr="00704B35" w:rsidRDefault="00704B35" w:rsidP="00704B35">
      <w:pPr>
        <w:rPr>
          <w:i/>
        </w:rPr>
      </w:pPr>
      <w:r w:rsidRPr="00704B35">
        <w:rPr>
          <w:i/>
        </w:rPr>
        <w:t xml:space="preserve">Nové záznamy se budou zakládat například při začátku zpracování mezd v programu v průběhu roku nebo při opomenutém výpočtu zálohy na důchodové spoření v některém z měsíců.  </w:t>
      </w:r>
    </w:p>
    <w:p w:rsidR="00704B35" w:rsidRDefault="00704B35" w:rsidP="00704B35"/>
    <w:p w:rsidR="00704B35" w:rsidRDefault="00704B35" w:rsidP="00704B35">
      <w:r w:rsidRPr="00704B35">
        <w:rPr>
          <w:b/>
        </w:rPr>
        <w:t>Rok</w:t>
      </w:r>
      <w:r>
        <w:t xml:space="preserve"> - údaj o roce zpracování, přebírá se z hlavičky vyúčtování</w:t>
      </w:r>
    </w:p>
    <w:p w:rsidR="00704B35" w:rsidRDefault="00704B35" w:rsidP="00704B35">
      <w:r w:rsidRPr="00704B35">
        <w:rPr>
          <w:b/>
        </w:rPr>
        <w:t>Měsíc</w:t>
      </w:r>
      <w:r>
        <w:t xml:space="preserve"> - v případě zadání nového záznamu určuje měsíc vyměření a odvodu zálohy na důchodové spoření</w:t>
      </w:r>
    </w:p>
    <w:p w:rsidR="00704B35" w:rsidRPr="00704B35" w:rsidRDefault="00704B35" w:rsidP="00704B35">
      <w:pPr>
        <w:rPr>
          <w:b/>
        </w:rPr>
      </w:pPr>
      <w:r w:rsidRPr="00704B35">
        <w:rPr>
          <w:b/>
        </w:rPr>
        <w:t>Řádný výkaz</w:t>
      </w:r>
    </w:p>
    <w:p w:rsidR="00704B35" w:rsidRDefault="00704B35" w:rsidP="00704B35">
      <w:pPr>
        <w:pStyle w:val="Odstavecseseznamem"/>
        <w:numPr>
          <w:ilvl w:val="0"/>
          <w:numId w:val="41"/>
        </w:numPr>
      </w:pPr>
      <w:r w:rsidRPr="0092479A">
        <w:rPr>
          <w:b/>
        </w:rPr>
        <w:t>Základ</w:t>
      </w:r>
      <w:r>
        <w:t xml:space="preserve"> - položka obsahuje hodnotu základu pro výpočet zálohy na důchodové spoření. V případě ručně zadaného záznamu je editovatelná. V případě </w:t>
      </w:r>
      <w:r>
        <w:lastRenderedPageBreak/>
        <w:t xml:space="preserve">generovaných záznamů ji nelze měnit. </w:t>
      </w:r>
    </w:p>
    <w:p w:rsidR="00704B35" w:rsidRDefault="00704B35" w:rsidP="00704B35">
      <w:pPr>
        <w:pStyle w:val="Odstavecseseznamem"/>
        <w:numPr>
          <w:ilvl w:val="0"/>
          <w:numId w:val="32"/>
        </w:numPr>
      </w:pPr>
      <w:r w:rsidRPr="0092479A">
        <w:rPr>
          <w:b/>
        </w:rPr>
        <w:t>Záloha</w:t>
      </w:r>
      <w:r>
        <w:t xml:space="preserve"> -</w:t>
      </w:r>
      <w:r w:rsidR="00597201">
        <w:t xml:space="preserve"> položka obsahuje hodnotu vypoč</w:t>
      </w:r>
      <w:r>
        <w:t xml:space="preserve">tené zálohy na důchodové spoření. V případě ručně zadaného záznamu je editovatelná. V případě generovaných záznamů ji nelze měnit. </w:t>
      </w:r>
    </w:p>
    <w:p w:rsidR="00597201" w:rsidRDefault="00597201" w:rsidP="00597201"/>
    <w:p w:rsidR="00597201" w:rsidRDefault="00597201" w:rsidP="00597201">
      <w:pPr>
        <w:jc w:val="center"/>
      </w:pPr>
      <w:r>
        <w:rPr>
          <w:noProof/>
          <w:color w:val="0000FF"/>
        </w:rPr>
        <w:drawing>
          <wp:inline distT="0" distB="0" distL="0" distR="0">
            <wp:extent cx="4447624" cy="2547004"/>
            <wp:effectExtent l="0" t="0" r="0" b="0"/>
            <wp:docPr id="29" name="Obrázek 29" descr="https://forum.helios.eu/orange/doc/.uploadcs/Mzdy_VDS_Formular_03.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forum.helios.eu/orange/doc/.uploadcs/Mzdy_VDS_Formular_03.PN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50852" cy="2548853"/>
                    </a:xfrm>
                    <a:prstGeom prst="rect">
                      <a:avLst/>
                    </a:prstGeom>
                    <a:noFill/>
                    <a:ln>
                      <a:noFill/>
                    </a:ln>
                  </pic:spPr>
                </pic:pic>
              </a:graphicData>
            </a:graphic>
          </wp:inline>
        </w:drawing>
      </w:r>
    </w:p>
    <w:p w:rsidR="0092479A" w:rsidRDefault="0092479A" w:rsidP="0092479A">
      <w:pPr>
        <w:pStyle w:val="Nadpis5"/>
        <w:numPr>
          <w:ilvl w:val="3"/>
          <w:numId w:val="8"/>
        </w:numPr>
      </w:pPr>
      <w:r w:rsidRPr="0092479A">
        <w:t>Oprava při řádném nebo opravném vyúčtování</w:t>
      </w:r>
      <w:r>
        <w:t xml:space="preserve"> </w:t>
      </w:r>
    </w:p>
    <w:p w:rsidR="0092479A" w:rsidRDefault="0092479A" w:rsidP="0092479A">
      <w:r>
        <w:t xml:space="preserve">Plátce pojistného může provádět opravy na pojistném do dne podání řádného Vyúčtování, které nebyly součástí následného hlášení. Tyto opravy budou součástí řádného vyúčtování. V případě chybně podaného řádného vyúčtování máte možnost podat do dne podání řádného Vyúčtování opravné Vyúčtování. </w:t>
      </w:r>
    </w:p>
    <w:p w:rsidR="0092479A" w:rsidRDefault="0092479A" w:rsidP="0092479A"/>
    <w:p w:rsidR="0092479A" w:rsidRPr="0092479A" w:rsidRDefault="0092479A" w:rsidP="0092479A">
      <w:pPr>
        <w:rPr>
          <w:b/>
        </w:rPr>
      </w:pPr>
      <w:r w:rsidRPr="0092479A">
        <w:rPr>
          <w:b/>
        </w:rPr>
        <w:t>Opravný výkaz</w:t>
      </w:r>
    </w:p>
    <w:p w:rsidR="0092479A" w:rsidRDefault="0092479A" w:rsidP="0092479A">
      <w:r w:rsidRPr="007450ED">
        <w:rPr>
          <w:b/>
        </w:rPr>
        <w:t>Základ</w:t>
      </w:r>
      <w:r>
        <w:t xml:space="preserve"> - položka obsahuje hodnotu základu pro výpočet zálohy na důchodové spoření. Při nenulové hodnotě má hodnota přednost před hodnotou Základ ze skupiny Řádný výkaz. Je novou tvrzenou hodnot</w:t>
      </w:r>
      <w:r w:rsidR="00742D88">
        <w:t>ou</w:t>
      </w:r>
      <w:r>
        <w:t xml:space="preserve"> pro vyúčtování důchodového spoření. </w:t>
      </w:r>
    </w:p>
    <w:p w:rsidR="0092479A" w:rsidRDefault="0092479A" w:rsidP="0092479A">
      <w:r w:rsidRPr="007450ED">
        <w:rPr>
          <w:b/>
        </w:rPr>
        <w:t>Základ - Vynulovat -</w:t>
      </w:r>
      <w:r>
        <w:t xml:space="preserve"> V případě, že je nutné původní hodnotu řádného vyúčtování vynulovat. Je potřeba zaškrtnout položku. Tvrzenou hodnotou základu pro vyúčtování bude nula. </w:t>
      </w:r>
    </w:p>
    <w:p w:rsidR="0092479A" w:rsidRDefault="0092479A" w:rsidP="0092479A">
      <w:r w:rsidRPr="007450ED">
        <w:rPr>
          <w:b/>
        </w:rPr>
        <w:t>Záloha</w:t>
      </w:r>
      <w:r>
        <w:t xml:space="preserve"> - položka obsahuje hodnotu zálohy na důchodové spoření. Při nenulové hodnotě má hodnota přednost před hodnotou Záloha ze skupiny Řádný výkaz. Je novou tvrzenou hodn</w:t>
      </w:r>
      <w:r w:rsidR="007450ED">
        <w:t>ot</w:t>
      </w:r>
      <w:r>
        <w:t xml:space="preserve">ou </w:t>
      </w:r>
      <w:r>
        <w:lastRenderedPageBreak/>
        <w:t xml:space="preserve">pro vyúčtování důchodového spoření. </w:t>
      </w:r>
    </w:p>
    <w:p w:rsidR="0092479A" w:rsidRDefault="0092479A" w:rsidP="0092479A">
      <w:r w:rsidRPr="007450ED">
        <w:rPr>
          <w:b/>
        </w:rPr>
        <w:t xml:space="preserve">Záloha - Vynulovat - </w:t>
      </w:r>
      <w:r>
        <w:t>V případě, že je nutné původní hodnotu řádného vyúčtování vynulovat. Je potřeba zaškrtnout položku. Tvrzenou hodnotou zálohy pro vyúčtování bude nula.</w:t>
      </w:r>
    </w:p>
    <w:p w:rsidR="00AC66FA" w:rsidRDefault="00AC66FA" w:rsidP="0092479A"/>
    <w:p w:rsidR="00AC66FA" w:rsidRDefault="00AC66FA" w:rsidP="00AC66FA">
      <w:pPr>
        <w:jc w:val="center"/>
      </w:pPr>
      <w:r>
        <w:rPr>
          <w:noProof/>
          <w:color w:val="0000FF"/>
        </w:rPr>
        <w:drawing>
          <wp:inline distT="0" distB="0" distL="0" distR="0">
            <wp:extent cx="4365266" cy="2499840"/>
            <wp:effectExtent l="0" t="0" r="0" b="0"/>
            <wp:docPr id="31" name="Obrázek 31" descr="https://forum.helios.eu/orange/doc/.uploadcs/Mzdy_VDS_Formular_04.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forum.helios.eu/orange/doc/.uploadcs/Mzdy_VDS_Formular_04.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62594" cy="2498310"/>
                    </a:xfrm>
                    <a:prstGeom prst="rect">
                      <a:avLst/>
                    </a:prstGeom>
                    <a:noFill/>
                    <a:ln>
                      <a:noFill/>
                    </a:ln>
                  </pic:spPr>
                </pic:pic>
              </a:graphicData>
            </a:graphic>
          </wp:inline>
        </w:drawing>
      </w:r>
    </w:p>
    <w:p w:rsidR="007450ED" w:rsidRDefault="007450ED" w:rsidP="007450ED">
      <w:pPr>
        <w:pStyle w:val="Nadpis5"/>
        <w:numPr>
          <w:ilvl w:val="3"/>
          <w:numId w:val="8"/>
        </w:numPr>
      </w:pPr>
      <w:r w:rsidRPr="007450ED">
        <w:t>Oprava při dodatečném vyúčtování</w:t>
      </w:r>
      <w:r>
        <w:t xml:space="preserve"> </w:t>
      </w:r>
    </w:p>
    <w:p w:rsidR="007450ED" w:rsidRDefault="007450ED" w:rsidP="007450ED">
      <w:r>
        <w:t xml:space="preserve">Plátce pojistného může provádět opravy na pojistném po dni podání řádného nebo opravného Vyúčtování. </w:t>
      </w:r>
    </w:p>
    <w:p w:rsidR="007450ED" w:rsidRDefault="007450ED" w:rsidP="007450ED"/>
    <w:p w:rsidR="007450ED" w:rsidRPr="007450ED" w:rsidRDefault="007450ED" w:rsidP="007450ED">
      <w:pPr>
        <w:rPr>
          <w:b/>
        </w:rPr>
      </w:pPr>
      <w:r w:rsidRPr="007450ED">
        <w:rPr>
          <w:b/>
        </w:rPr>
        <w:t>Dodatečný výkaz</w:t>
      </w:r>
    </w:p>
    <w:p w:rsidR="007450ED" w:rsidRDefault="007450ED" w:rsidP="007450ED">
      <w:r w:rsidRPr="007450ED">
        <w:rPr>
          <w:b/>
        </w:rPr>
        <w:t>Základ</w:t>
      </w:r>
      <w:r>
        <w:t xml:space="preserve"> - položka obsahuje hodnotu základu pro výpočet zálohy na důchodové spoření. Při nenulové hodnotě má hodnota přednost před hodnotou Základ ze skupin Řádný a Opravný výkaz. Je novou tvrzenou hodnot</w:t>
      </w:r>
      <w:r w:rsidR="00742D88">
        <w:t>ou</w:t>
      </w:r>
      <w:r>
        <w:t xml:space="preserve"> pro dodatečné vyúčtování důchodového spoření. </w:t>
      </w:r>
    </w:p>
    <w:p w:rsidR="007450ED" w:rsidRDefault="007450ED" w:rsidP="007450ED">
      <w:r w:rsidRPr="007450ED">
        <w:rPr>
          <w:b/>
        </w:rPr>
        <w:t>Základ - Vynulovat</w:t>
      </w:r>
      <w:r>
        <w:t xml:space="preserve"> - V případě, že je nutné původní hodnotu řádného nebo opravného vyúčtování vynulovat. Je potřeba zaškrtnout položku. Tvrzenou hodnotou základu pro dodatečné vyúčtování bude nula. </w:t>
      </w:r>
    </w:p>
    <w:p w:rsidR="007450ED" w:rsidRDefault="007450ED" w:rsidP="007450ED">
      <w:r w:rsidRPr="007450ED">
        <w:rPr>
          <w:b/>
        </w:rPr>
        <w:t>Záloha</w:t>
      </w:r>
      <w:r>
        <w:t xml:space="preserve"> - položka obsahuje hodnotu zálohy na důchodové spoření. Při nenulové hodnotě má hodnota přednost před hodnotou Záloha ze skupin Řádný a Opravný výkaz. Je novou tvrzenou hodnotou pro dodatečné vyúčtování důchodového spoření. </w:t>
      </w:r>
    </w:p>
    <w:p w:rsidR="007450ED" w:rsidRDefault="007450ED" w:rsidP="007450ED">
      <w:r w:rsidRPr="007450ED">
        <w:rPr>
          <w:b/>
        </w:rPr>
        <w:t>Záloha - Vynulovat</w:t>
      </w:r>
      <w:r>
        <w:t xml:space="preserve"> - V případě, že je nutné původní hodnotu řádného nebo opravného </w:t>
      </w:r>
      <w:r>
        <w:lastRenderedPageBreak/>
        <w:t>vyúčtování vynulovat. Je potřeba zaškrtnout položku. Tvrzenou hodnotou zálohy pro dodatečné vyúčtování bude nula.</w:t>
      </w:r>
    </w:p>
    <w:p w:rsidR="00597201" w:rsidRDefault="00597201" w:rsidP="00597201">
      <w:pPr>
        <w:pStyle w:val="Nadpis5"/>
        <w:numPr>
          <w:ilvl w:val="3"/>
          <w:numId w:val="8"/>
        </w:numPr>
      </w:pPr>
      <w:r>
        <w:t xml:space="preserve">Povaha vyúčtování důchodového spoření </w:t>
      </w:r>
    </w:p>
    <w:p w:rsidR="00597201" w:rsidRDefault="00597201" w:rsidP="00597201">
      <w:r w:rsidRPr="00597201">
        <w:rPr>
          <w:b/>
        </w:rPr>
        <w:t>Základ</w:t>
      </w:r>
      <w:r>
        <w:t xml:space="preserve"> - suma základů pro výpočet zálohy na pojištění na důchodové spoření</w:t>
      </w:r>
    </w:p>
    <w:p w:rsidR="00597201" w:rsidRDefault="00597201" w:rsidP="00597201">
      <w:r w:rsidRPr="00597201">
        <w:rPr>
          <w:b/>
        </w:rPr>
        <w:t>Záloha</w:t>
      </w:r>
      <w:r>
        <w:t xml:space="preserve"> - suma vypočtených záloh na pojištění na důchodové spoření</w:t>
      </w:r>
    </w:p>
    <w:p w:rsidR="00597201" w:rsidRDefault="00597201" w:rsidP="00597201">
      <w:r w:rsidRPr="00597201">
        <w:rPr>
          <w:b/>
        </w:rPr>
        <w:t>Odvedeno</w:t>
      </w:r>
      <w:r>
        <w:t xml:space="preserve"> - suma sražených záloh na pojištění na důchodové spoření</w:t>
      </w:r>
    </w:p>
    <w:p w:rsidR="00597201" w:rsidRDefault="00597201" w:rsidP="00597201">
      <w:r w:rsidRPr="00597201">
        <w:rPr>
          <w:b/>
        </w:rPr>
        <w:t>Vyúčtování</w:t>
      </w:r>
      <w:r>
        <w:t xml:space="preserve"> - informativní položka zobrazující rozdíl mezí vypočtenou zálohou a odvodem</w:t>
      </w:r>
    </w:p>
    <w:p w:rsidR="00597201" w:rsidRDefault="00597201" w:rsidP="00597201">
      <w:pPr>
        <w:pStyle w:val="Odstavecseseznamem"/>
        <w:numPr>
          <w:ilvl w:val="0"/>
          <w:numId w:val="32"/>
        </w:numPr>
      </w:pPr>
      <w:r>
        <w:t xml:space="preserve">Řádné vyúčtování - obsahuje sumy základu a zálohy ze sloupců ŘV_základ a ŘV_záloha. </w:t>
      </w:r>
    </w:p>
    <w:p w:rsidR="00597201" w:rsidRDefault="00597201" w:rsidP="00597201">
      <w:pPr>
        <w:pStyle w:val="Odstavecseseznamem"/>
        <w:numPr>
          <w:ilvl w:val="0"/>
          <w:numId w:val="32"/>
        </w:numPr>
      </w:pPr>
      <w:r>
        <w:t xml:space="preserve">Opravné vyúčtování - obsahuje sumy základu a zálohy ze sloupců ŘV_základ a ŘV_záloha upravené o hodnoty OV_základ a OV_záloha </w:t>
      </w:r>
    </w:p>
    <w:p w:rsidR="00704B35" w:rsidRDefault="00597201" w:rsidP="00597201">
      <w:pPr>
        <w:pStyle w:val="Odstavecseseznamem"/>
        <w:numPr>
          <w:ilvl w:val="0"/>
          <w:numId w:val="32"/>
        </w:numPr>
      </w:pPr>
      <w:r>
        <w:t>Dodatečné vyúčtování - obsahuje sumy základu a zálohy ze sloupců ŘV_základ a ŘV_záloha upravené o hodnoty OV_základ a OV_záloha a dále upravené o sloupce DV_základ a DV_záloha</w:t>
      </w:r>
    </w:p>
    <w:p w:rsidR="006A3993" w:rsidRDefault="006A3993" w:rsidP="00AC66FA">
      <w:pPr>
        <w:pStyle w:val="Nadpis5"/>
        <w:numPr>
          <w:ilvl w:val="3"/>
          <w:numId w:val="8"/>
        </w:numPr>
      </w:pPr>
      <w:r w:rsidRPr="004A3763">
        <w:t>Před prvním podáním je nutné provést tyto nastavení:</w:t>
      </w:r>
    </w:p>
    <w:p w:rsidR="00AC66FA" w:rsidRDefault="00AC66FA" w:rsidP="00AC66FA">
      <w:r>
        <w:t xml:space="preserve">Odeslání vyúčtování důchodové spoření Vlastní vygenerování a odeslání výkazu Vyúčtování provedete v přehledu </w:t>
      </w:r>
      <w:r w:rsidRPr="00AC66FA">
        <w:rPr>
          <w:b/>
        </w:rPr>
        <w:t>Měsíční exporty za organizaci</w:t>
      </w:r>
      <w:r>
        <w:t xml:space="preserve"> ve stromečku pod složkou </w:t>
      </w:r>
      <w:r w:rsidRPr="00AC66FA">
        <w:rPr>
          <w:b/>
        </w:rPr>
        <w:t>Výpočet mzdy</w:t>
      </w:r>
      <w:r w:rsidRPr="00AC66FA">
        <w:t>.</w:t>
      </w:r>
      <w:r>
        <w:t xml:space="preserve"> Pro první podání je nutné zadat do přehledu přes tlačítko Nový Typ exportu </w:t>
      </w:r>
      <w:r w:rsidRPr="00AC66FA">
        <w:rPr>
          <w:b/>
        </w:rPr>
        <w:t>Roční vyúčtování důchodového spoření (FÚ) XML</w:t>
      </w:r>
      <w:r>
        <w:t xml:space="preserve">. Společně je se založení záznamu je nutné doplnit číslo Finančního úřadu a Územní pracoviště a DIČ. </w:t>
      </w:r>
    </w:p>
    <w:p w:rsidR="00AC66FA" w:rsidRDefault="00AC66FA" w:rsidP="00AC66FA"/>
    <w:p w:rsidR="00AC66FA" w:rsidRDefault="00AC66FA" w:rsidP="00AC66FA">
      <w:r w:rsidRPr="00AC66FA">
        <w:rPr>
          <w:b/>
        </w:rPr>
        <w:t>Typ exportu</w:t>
      </w:r>
      <w:r>
        <w:t xml:space="preserve"> - Hlášení k záloze na pojistné na důchodové spoření (FÚ) XML </w:t>
      </w:r>
    </w:p>
    <w:p w:rsidR="00AC66FA" w:rsidRDefault="00AC66FA" w:rsidP="00AC66FA">
      <w:r w:rsidRPr="00AC66FA">
        <w:rPr>
          <w:b/>
        </w:rPr>
        <w:t>Cíl exportu</w:t>
      </w:r>
      <w:r>
        <w:t xml:space="preserve"> - Finanční úřad (je vyplněn automaticky) </w:t>
      </w:r>
    </w:p>
    <w:p w:rsidR="00AC66FA" w:rsidRDefault="00AC66FA" w:rsidP="00AC66FA">
      <w:r w:rsidRPr="00AC66FA">
        <w:rPr>
          <w:b/>
        </w:rPr>
        <w:t>Finanční úřad Vyplňte číslo FÚ</w:t>
      </w:r>
      <w:r>
        <w:t xml:space="preserve"> - blíže na stránkách daňové správy</w:t>
      </w:r>
    </w:p>
    <w:p w:rsidR="00AC66FA" w:rsidRDefault="00AC66FA" w:rsidP="00AC66FA">
      <w:r w:rsidRPr="00AC66FA">
        <w:rPr>
          <w:b/>
        </w:rPr>
        <w:t>Územní pracoviště</w:t>
      </w:r>
      <w:r>
        <w:t xml:space="preserve"> - zadává se číslo územního pracoviště z číselníku podle příslušnosti zaměstnavatele - blíže na stránkách daňové správy - Pracoviště FÚ (pracufo)] </w:t>
      </w:r>
    </w:p>
    <w:p w:rsidR="00AC66FA" w:rsidRDefault="00AC66FA" w:rsidP="00AC66FA">
      <w:r w:rsidRPr="00AC66FA">
        <w:rPr>
          <w:b/>
        </w:rPr>
        <w:t>DIČ</w:t>
      </w:r>
      <w:r>
        <w:t xml:space="preserve"> - je nutné vyplnit DIČ, pod který bude odcházet výkaz Vyúčtování. </w:t>
      </w:r>
    </w:p>
    <w:p w:rsidR="00AC66FA" w:rsidRDefault="00AC66FA" w:rsidP="00AC66FA"/>
    <w:p w:rsidR="00AC66FA" w:rsidRDefault="00AC66FA" w:rsidP="00AC66FA">
      <w:r>
        <w:t xml:space="preserve">Generování zprávy, podání na EPO Vlastní export vyúčtování se provádí přes daňový portál </w:t>
      </w:r>
      <w:r>
        <w:lastRenderedPageBreak/>
        <w:t xml:space="preserve">aplikací EPO (podobně jako hlášení DPH). Nad označeným řádkem spustíte akci místní nabídky Zprávy, Generování zpráv. V přehledu definice zpráv se nachází definici </w:t>
      </w:r>
      <w:r w:rsidRPr="00AC66FA">
        <w:rPr>
          <w:b/>
        </w:rPr>
        <w:t>Vyúčtování důchodového spoření 2013 - XML</w:t>
      </w:r>
      <w:r>
        <w:t xml:space="preserve"> pro odeslání a </w:t>
      </w:r>
      <w:r w:rsidRPr="00AC66FA">
        <w:rPr>
          <w:b/>
        </w:rPr>
        <w:t>Hlášení důchodové spoření - dotaz na stav</w:t>
      </w:r>
      <w:r>
        <w:t xml:space="preserve"> pro ověření správnosti podaného vyúčtování. </w:t>
      </w:r>
    </w:p>
    <w:p w:rsidR="00597670" w:rsidRDefault="00597670" w:rsidP="00AC66FA"/>
    <w:p w:rsidR="00AC66FA" w:rsidRDefault="00AC66FA" w:rsidP="00AC66FA">
      <w:r>
        <w:t xml:space="preserve">Vlastní podání lze provést na adresu: </w:t>
      </w:r>
      <w:r w:rsidRPr="00AC66FA">
        <w:rPr>
          <w:b/>
        </w:rPr>
        <w:t>https://adisepo.mfcr.cz/adistc/epo_podani</w:t>
      </w:r>
    </w:p>
    <w:p w:rsidR="00AC66FA" w:rsidRDefault="00AC66FA" w:rsidP="00AC66FA">
      <w:r>
        <w:t xml:space="preserve">Poté se musí kontrolovat stav podání na adrese: </w:t>
      </w:r>
      <w:r w:rsidRPr="00AC66FA">
        <w:rPr>
          <w:b/>
        </w:rPr>
        <w:t xml:space="preserve">https://adisepo.mfcr.cz/adistc/epo_stav </w:t>
      </w:r>
    </w:p>
    <w:p w:rsidR="00AC66FA" w:rsidRDefault="00AC66FA" w:rsidP="00AC66FA">
      <w:r>
        <w:t xml:space="preserve">Pro odeslání a ověření je nutno - na rozdíl od podání na VREP použít 2 definice zpráv - jednu pro podání, druhou pro dotaz na stav: </w:t>
      </w:r>
    </w:p>
    <w:p w:rsidR="00AC66FA" w:rsidRDefault="00AC66FA" w:rsidP="00AC66FA"/>
    <w:p w:rsidR="00AC66FA" w:rsidRPr="00AC66FA" w:rsidRDefault="00AC66FA" w:rsidP="00AC66FA">
      <w:pPr>
        <w:rPr>
          <w:b/>
        </w:rPr>
      </w:pPr>
      <w:r>
        <w:t xml:space="preserve">Pro odeslání hlášení DS se použije definice zprávy: </w:t>
      </w:r>
      <w:r w:rsidRPr="00AC66FA">
        <w:rPr>
          <w:b/>
        </w:rPr>
        <w:t xml:space="preserve">Vyúčtování zálohy na důchodové spoření - XML </w:t>
      </w:r>
    </w:p>
    <w:p w:rsidR="00AC66FA" w:rsidRPr="00AC66FA" w:rsidRDefault="00AC66FA" w:rsidP="00AC66FA">
      <w:pPr>
        <w:rPr>
          <w:b/>
        </w:rPr>
      </w:pPr>
      <w:r>
        <w:t xml:space="preserve">Pro ověření stavu podání se použije definice zprávy: </w:t>
      </w:r>
      <w:r w:rsidRPr="00AC66FA">
        <w:rPr>
          <w:b/>
        </w:rPr>
        <w:t xml:space="preserve">Hlášení důchodové spoření - dotaz na stav. </w:t>
      </w:r>
    </w:p>
    <w:p w:rsidR="00AC66FA" w:rsidRDefault="00AC66FA" w:rsidP="00597670">
      <w:pPr>
        <w:pStyle w:val="Nadpis5"/>
        <w:numPr>
          <w:ilvl w:val="3"/>
          <w:numId w:val="8"/>
        </w:numPr>
      </w:pPr>
      <w:r>
        <w:t xml:space="preserve">Při odeslání zprávy jste vyzváni k vyplnění editoru před vlastním exportem </w:t>
      </w:r>
    </w:p>
    <w:p w:rsidR="00AC66FA" w:rsidRDefault="00AC66FA" w:rsidP="00AC66FA">
      <w:r w:rsidRPr="00AC66FA">
        <w:rPr>
          <w:b/>
        </w:rPr>
        <w:t>Druh hlášení</w:t>
      </w:r>
      <w:r>
        <w:t xml:space="preserve"> - zadáte druh hlášení, řádné, řádné - opravné, dodatečné, dodatečné - opravné</w:t>
      </w:r>
    </w:p>
    <w:p w:rsidR="00AC66FA" w:rsidRDefault="00AC66FA" w:rsidP="00AC66FA">
      <w:r w:rsidRPr="00AC66FA">
        <w:rPr>
          <w:b/>
        </w:rPr>
        <w:t>Datum do, Datum do</w:t>
      </w:r>
      <w:r>
        <w:t xml:space="preserve"> - zadáte data období podání Vyúčtování</w:t>
      </w:r>
    </w:p>
    <w:p w:rsidR="00AC66FA" w:rsidRDefault="00AC66FA" w:rsidP="00AC66FA">
      <w:r w:rsidRPr="00AC66FA">
        <w:rPr>
          <w:b/>
        </w:rPr>
        <w:t>Datum dodatečného vyúčto</w:t>
      </w:r>
      <w:r>
        <w:rPr>
          <w:b/>
        </w:rPr>
        <w:t>v</w:t>
      </w:r>
      <w:r w:rsidRPr="00AC66FA">
        <w:rPr>
          <w:b/>
        </w:rPr>
        <w:t>ání</w:t>
      </w:r>
      <w:r>
        <w:t xml:space="preserve"> - v případě dodatečného nebo dodatečného - opravného zadáte datum platnosti</w:t>
      </w:r>
    </w:p>
    <w:p w:rsidR="00AC66FA" w:rsidRDefault="00AC66FA" w:rsidP="00AC66FA">
      <w:r w:rsidRPr="00AC66FA">
        <w:rPr>
          <w:b/>
        </w:rPr>
        <w:t>Důvod pro podání Vyúčtování</w:t>
      </w:r>
      <w:r>
        <w:t xml:space="preserve"> - základní důvod není, v p</w:t>
      </w:r>
      <w:r w:rsidR="00597670">
        <w:t>řípadě nabytí ostatních důvodů se údaj vyplňuje.</w:t>
      </w:r>
    </w:p>
    <w:p w:rsidR="00AC66FA" w:rsidRDefault="00AC66FA" w:rsidP="00AC66FA">
      <w:r w:rsidRPr="00597670">
        <w:rPr>
          <w:b/>
        </w:rPr>
        <w:t>Oprávněná osoba</w:t>
      </w:r>
      <w:r>
        <w:t xml:space="preserve"> - vyplníte údaje, o oprávněné osobě.</w:t>
      </w:r>
    </w:p>
    <w:p w:rsidR="00AC66FA" w:rsidRDefault="00AC66FA" w:rsidP="00AC66FA">
      <w:r w:rsidRPr="00597670">
        <w:rPr>
          <w:b/>
        </w:rPr>
        <w:t>Zástupce</w:t>
      </w:r>
      <w:r>
        <w:t xml:space="preserve"> - případně vyplníte údaje o zástupci.</w:t>
      </w:r>
    </w:p>
    <w:p w:rsidR="00AC66FA" w:rsidRPr="00AC66FA" w:rsidRDefault="00AC66FA" w:rsidP="00AC66FA"/>
    <w:p w:rsidR="006A3993" w:rsidRDefault="006A3993" w:rsidP="00AC66FA">
      <w:pPr>
        <w:pStyle w:val="Nadpis2"/>
      </w:pPr>
      <w:bookmarkStart w:id="33" w:name="_Toc376422245"/>
      <w:r>
        <w:t>Změny výkazu hlášení a následné hlášení důchodového spoření</w:t>
      </w:r>
      <w:bookmarkEnd w:id="33"/>
    </w:p>
    <w:p w:rsidR="0053239B" w:rsidRDefault="0053239B" w:rsidP="0053239B">
      <w:r>
        <w:t>Z důvodu změny výkazu hlášení</w:t>
      </w:r>
      <w:r w:rsidRPr="0053239B">
        <w:t xml:space="preserve"> k záloze na pojist</w:t>
      </w:r>
      <w:r>
        <w:t>né na důchodové spoření a následném h</w:t>
      </w:r>
      <w:r w:rsidRPr="0053239B">
        <w:t>lášení k záloze n</w:t>
      </w:r>
      <w:r>
        <w:t xml:space="preserve">a pojistné na důchodové spoření. Došlo i k úpravě výpočtu zálohy na pojistném na důchodovém spoření. </w:t>
      </w:r>
    </w:p>
    <w:p w:rsidR="0053239B" w:rsidRDefault="0053239B" w:rsidP="0053239B">
      <w:r>
        <w:lastRenderedPageBreak/>
        <w:t>Do definice výkazů hlášení podané poprvé za leden 2014 byla přidána nová položka 03a s názvem Označení vyměřovacího základu (při souběhu více vyměřovacích základů u jednoho poplatníka, se každý vyměřovací základ uvádí zvlášť (značení samostatně v každém měsíci 1,2,3,…., pokud v jednom měsíci budou např. 3 vyměřovací základy – např. 1 PP</w:t>
      </w:r>
    </w:p>
    <w:p w:rsidR="0053239B" w:rsidRDefault="0053239B" w:rsidP="0053239B">
      <w:r>
        <w:t>vztah, 2 DPČ, 3 DPP a v druhém měsíci pouze DPČ – bude označena č.</w:t>
      </w:r>
      <w:r w:rsidR="005F1474">
        <w:t xml:space="preserve"> </w:t>
      </w:r>
      <w:r>
        <w:t>1, bez ohledu na skutečnost, že v předcházejícím měsíci byla označena č. 2).</w:t>
      </w:r>
    </w:p>
    <w:p w:rsidR="00DB03F1" w:rsidRPr="00C8069D" w:rsidRDefault="00DB03F1" w:rsidP="006A3993">
      <w:pPr>
        <w:pStyle w:val="Nadpis2"/>
        <w:numPr>
          <w:ilvl w:val="2"/>
          <w:numId w:val="8"/>
        </w:numPr>
      </w:pPr>
      <w:bookmarkStart w:id="34" w:name="_Toc376422246"/>
      <w:r w:rsidRPr="00C8069D">
        <w:t>Z hlediska programu Helios Orange</w:t>
      </w:r>
      <w:bookmarkEnd w:id="34"/>
    </w:p>
    <w:p w:rsidR="005F1474" w:rsidRDefault="005F1474" w:rsidP="00CA038C">
      <w:r>
        <w:t>Změna oproti roku 2013 byla provedena ve vlastním výpočtu zálohy na pojistném na důchodovém spoření. Nadále probíhá kontrola data od kdy je poplatník účasten důchodového spoření v případě souběžných pracovních poměrů v editoru mzdových údajů. Položka Datum Od na záložce Odvody, Sociální pojištění v sekci Důchodové spoření musí být zadána a datum musí být stejné na všech svázaných souběžných pracovních poměrech zaměstnance.</w:t>
      </w:r>
    </w:p>
    <w:p w:rsidR="005F1474" w:rsidRDefault="005F1474" w:rsidP="00CA038C"/>
    <w:p w:rsidR="005F1474" w:rsidRDefault="005F1474" w:rsidP="00CA038C">
      <w:r>
        <w:t xml:space="preserve">Oproti roku 2013, kdy docházelo obdobně jako při výpočtu daně k součtu vyměřovacích základů všech souběžných pracovních poměrů a odvodu zálohy na pojistném na důchodovém spoření na hlavním pracovním poměru, se záloha na pojistném na důchodovém spoření vypočte na každém pracovním poměru zaměstnance samostatně. </w:t>
      </w:r>
    </w:p>
    <w:p w:rsidR="005F1474" w:rsidRDefault="005F1474" w:rsidP="00CA038C"/>
    <w:p w:rsidR="005F1474" w:rsidRPr="00970EBC" w:rsidRDefault="00970EBC" w:rsidP="00CA038C">
      <w:pPr>
        <w:rPr>
          <w:b/>
        </w:rPr>
      </w:pPr>
      <w:r>
        <w:rPr>
          <w:b/>
        </w:rPr>
        <w:t>Příklad</w:t>
      </w:r>
      <w:r w:rsidRPr="00970EBC">
        <w:rPr>
          <w:b/>
        </w:rPr>
        <w:t>:</w:t>
      </w:r>
    </w:p>
    <w:p w:rsidR="00970EBC" w:rsidRDefault="00970EBC" w:rsidP="00CA038C">
      <w:r>
        <w:t>Zaměstnanec má dva pracovní poměry u jednoho zaměstnavatel.</w:t>
      </w:r>
    </w:p>
    <w:p w:rsidR="00970EBC" w:rsidRDefault="00970EBC" w:rsidP="00CA038C">
      <w:r>
        <w:t>Vyměřovací základ pro DS Hlavní pracovní poměr:</w:t>
      </w:r>
      <w:r>
        <w:tab/>
      </w:r>
      <w:r>
        <w:tab/>
        <w:t>10 000</w:t>
      </w:r>
    </w:p>
    <w:p w:rsidR="00970EBC" w:rsidRDefault="00970EBC" w:rsidP="00CA038C">
      <w:r>
        <w:t xml:space="preserve">Vyměřovací základ pro DS Souběžný pracovní poměr: </w:t>
      </w:r>
      <w:r>
        <w:tab/>
      </w:r>
      <w:r>
        <w:tab/>
        <w:t>5 000</w:t>
      </w:r>
    </w:p>
    <w:p w:rsidR="00970EBC" w:rsidRDefault="00970EBC" w:rsidP="00CA038C"/>
    <w:p w:rsidR="00970EBC" w:rsidRPr="00970EBC" w:rsidRDefault="00970EBC" w:rsidP="00CA038C">
      <w:pPr>
        <w:rPr>
          <w:b/>
        </w:rPr>
      </w:pPr>
      <w:r w:rsidRPr="00970EBC">
        <w:rPr>
          <w:b/>
        </w:rPr>
        <w:t xml:space="preserve">Výpočet </w:t>
      </w:r>
      <w:r>
        <w:rPr>
          <w:b/>
        </w:rPr>
        <w:t xml:space="preserve">rok </w:t>
      </w:r>
      <w:r w:rsidRPr="00970EBC">
        <w:rPr>
          <w:b/>
        </w:rPr>
        <w:t>2013:</w:t>
      </w:r>
    </w:p>
    <w:p w:rsidR="00970EBC" w:rsidRDefault="00970EBC" w:rsidP="00970EBC">
      <w:r>
        <w:t>Záloha na DS = 10 000 + 5 000 = 15 000 x 5% = 750,-</w:t>
      </w:r>
    </w:p>
    <w:p w:rsidR="008900B6" w:rsidRDefault="00970EBC" w:rsidP="00970EBC">
      <w:r>
        <w:t>Ve výkazu hlášení na pojistném na důchodovém spoření se objevil jeden řádek představující poplatníka</w:t>
      </w:r>
      <w:r w:rsidR="008900B6">
        <w:t>.</w:t>
      </w:r>
    </w:p>
    <w:p w:rsidR="008900B6" w:rsidRDefault="008900B6" w:rsidP="00970EBC">
      <w:r>
        <w:t xml:space="preserve"> </w:t>
      </w:r>
    </w:p>
    <w:tbl>
      <w:tblPr>
        <w:tblStyle w:val="Mkatabulky"/>
        <w:tblW w:w="0" w:type="auto"/>
        <w:tblLook w:val="04A0" w:firstRow="1" w:lastRow="0" w:firstColumn="1" w:lastColumn="0" w:noHBand="0" w:noVBand="1"/>
      </w:tblPr>
      <w:tblGrid>
        <w:gridCol w:w="3259"/>
        <w:gridCol w:w="3259"/>
      </w:tblGrid>
      <w:tr w:rsidR="008900B6" w:rsidRPr="008900B6" w:rsidTr="000D6EEE">
        <w:tc>
          <w:tcPr>
            <w:tcW w:w="3259" w:type="dxa"/>
          </w:tcPr>
          <w:p w:rsidR="008900B6" w:rsidRPr="008900B6" w:rsidRDefault="008900B6" w:rsidP="000D6EEE">
            <w:pPr>
              <w:rPr>
                <w:b/>
              </w:rPr>
            </w:pPr>
            <w:r w:rsidRPr="008900B6">
              <w:rPr>
                <w:b/>
              </w:rPr>
              <w:t>Vyměřovací základ DS</w:t>
            </w:r>
          </w:p>
        </w:tc>
        <w:tc>
          <w:tcPr>
            <w:tcW w:w="3259" w:type="dxa"/>
          </w:tcPr>
          <w:p w:rsidR="008900B6" w:rsidRPr="008900B6" w:rsidRDefault="008900B6" w:rsidP="000D6EEE">
            <w:pPr>
              <w:rPr>
                <w:b/>
              </w:rPr>
            </w:pPr>
            <w:r w:rsidRPr="008900B6">
              <w:rPr>
                <w:b/>
              </w:rPr>
              <w:t>Záloha DS</w:t>
            </w:r>
          </w:p>
        </w:tc>
      </w:tr>
      <w:tr w:rsidR="008900B6" w:rsidTr="000D6EEE">
        <w:tc>
          <w:tcPr>
            <w:tcW w:w="3259" w:type="dxa"/>
          </w:tcPr>
          <w:p w:rsidR="008900B6" w:rsidRDefault="008900B6" w:rsidP="008900B6">
            <w:r>
              <w:t>15 000,-</w:t>
            </w:r>
          </w:p>
        </w:tc>
        <w:tc>
          <w:tcPr>
            <w:tcW w:w="3259" w:type="dxa"/>
          </w:tcPr>
          <w:p w:rsidR="008900B6" w:rsidRDefault="008900B6" w:rsidP="000D6EEE">
            <w:r>
              <w:t>750,-</w:t>
            </w:r>
          </w:p>
        </w:tc>
      </w:tr>
    </w:tbl>
    <w:p w:rsidR="00970EBC" w:rsidRDefault="00970EBC" w:rsidP="00970EBC"/>
    <w:p w:rsidR="008900B6" w:rsidRDefault="008900B6" w:rsidP="00970EBC"/>
    <w:p w:rsidR="00970EBC" w:rsidRPr="00970EBC" w:rsidRDefault="00970EBC" w:rsidP="00970EBC">
      <w:pPr>
        <w:rPr>
          <w:b/>
        </w:rPr>
      </w:pPr>
      <w:r w:rsidRPr="00970EBC">
        <w:rPr>
          <w:b/>
        </w:rPr>
        <w:t xml:space="preserve">Výpočet rok </w:t>
      </w:r>
      <w:r>
        <w:rPr>
          <w:b/>
        </w:rPr>
        <w:t>2014</w:t>
      </w:r>
      <w:r w:rsidRPr="00970EBC">
        <w:rPr>
          <w:b/>
        </w:rPr>
        <w:t>:</w:t>
      </w:r>
    </w:p>
    <w:p w:rsidR="00970EBC" w:rsidRDefault="00970EBC" w:rsidP="00970EBC">
      <w:r>
        <w:t>Záloha na DS 1. pracovní poměr (hlavní PP)= 10 000 x 5% = 500,-</w:t>
      </w:r>
    </w:p>
    <w:p w:rsidR="00970EBC" w:rsidRDefault="00970EBC" w:rsidP="00970EBC">
      <w:r>
        <w:t>Záloha na DS 2. pracovní poměr (souběžný PP)= 5 000 x 5% = 250,-</w:t>
      </w:r>
    </w:p>
    <w:p w:rsidR="00970EBC" w:rsidRDefault="00970EBC" w:rsidP="00970EBC"/>
    <w:p w:rsidR="00970EBC" w:rsidRDefault="00970EBC" w:rsidP="00970EBC">
      <w:r>
        <w:t>Ve výkazu hlášení na pojistném na důchodovém spoření se objeví dva řádky představující poplatníka.</w:t>
      </w:r>
    </w:p>
    <w:p w:rsidR="00970EBC" w:rsidRDefault="00970EBC" w:rsidP="00970EBC"/>
    <w:tbl>
      <w:tblPr>
        <w:tblStyle w:val="Mkatabulky"/>
        <w:tblW w:w="0" w:type="auto"/>
        <w:tblLook w:val="04A0" w:firstRow="1" w:lastRow="0" w:firstColumn="1" w:lastColumn="0" w:noHBand="0" w:noVBand="1"/>
      </w:tblPr>
      <w:tblGrid>
        <w:gridCol w:w="3259"/>
        <w:gridCol w:w="3259"/>
        <w:gridCol w:w="3259"/>
      </w:tblGrid>
      <w:tr w:rsidR="008900B6" w:rsidRPr="008900B6" w:rsidTr="008900B6">
        <w:tc>
          <w:tcPr>
            <w:tcW w:w="3259" w:type="dxa"/>
          </w:tcPr>
          <w:p w:rsidR="008900B6" w:rsidRPr="008900B6" w:rsidRDefault="008900B6" w:rsidP="00970EBC">
            <w:pPr>
              <w:rPr>
                <w:b/>
              </w:rPr>
            </w:pPr>
            <w:r w:rsidRPr="008900B6">
              <w:rPr>
                <w:b/>
              </w:rPr>
              <w:t>Pořadí PP</w:t>
            </w:r>
          </w:p>
        </w:tc>
        <w:tc>
          <w:tcPr>
            <w:tcW w:w="3259" w:type="dxa"/>
          </w:tcPr>
          <w:p w:rsidR="008900B6" w:rsidRPr="008900B6" w:rsidRDefault="008900B6" w:rsidP="00970EBC">
            <w:pPr>
              <w:rPr>
                <w:b/>
              </w:rPr>
            </w:pPr>
            <w:r w:rsidRPr="008900B6">
              <w:rPr>
                <w:b/>
              </w:rPr>
              <w:t>Vyměřovací základ DS</w:t>
            </w:r>
          </w:p>
        </w:tc>
        <w:tc>
          <w:tcPr>
            <w:tcW w:w="3259" w:type="dxa"/>
          </w:tcPr>
          <w:p w:rsidR="008900B6" w:rsidRPr="008900B6" w:rsidRDefault="008900B6" w:rsidP="00970EBC">
            <w:pPr>
              <w:rPr>
                <w:b/>
              </w:rPr>
            </w:pPr>
            <w:r w:rsidRPr="008900B6">
              <w:rPr>
                <w:b/>
              </w:rPr>
              <w:t>Záloha DS</w:t>
            </w:r>
          </w:p>
        </w:tc>
      </w:tr>
      <w:tr w:rsidR="008900B6" w:rsidTr="008900B6">
        <w:tc>
          <w:tcPr>
            <w:tcW w:w="3259" w:type="dxa"/>
          </w:tcPr>
          <w:p w:rsidR="008900B6" w:rsidRDefault="008900B6" w:rsidP="00970EBC">
            <w:r>
              <w:t>1</w:t>
            </w:r>
          </w:p>
        </w:tc>
        <w:tc>
          <w:tcPr>
            <w:tcW w:w="3259" w:type="dxa"/>
          </w:tcPr>
          <w:p w:rsidR="008900B6" w:rsidRDefault="008900B6" w:rsidP="00970EBC">
            <w:r>
              <w:t>10 000,-</w:t>
            </w:r>
          </w:p>
        </w:tc>
        <w:tc>
          <w:tcPr>
            <w:tcW w:w="3259" w:type="dxa"/>
          </w:tcPr>
          <w:p w:rsidR="008900B6" w:rsidRDefault="008900B6" w:rsidP="00970EBC">
            <w:r>
              <w:t>500,-</w:t>
            </w:r>
          </w:p>
        </w:tc>
      </w:tr>
      <w:tr w:rsidR="008900B6" w:rsidTr="008900B6">
        <w:tc>
          <w:tcPr>
            <w:tcW w:w="3259" w:type="dxa"/>
          </w:tcPr>
          <w:p w:rsidR="008900B6" w:rsidRDefault="008900B6" w:rsidP="00970EBC">
            <w:r>
              <w:t>2</w:t>
            </w:r>
          </w:p>
        </w:tc>
        <w:tc>
          <w:tcPr>
            <w:tcW w:w="3259" w:type="dxa"/>
          </w:tcPr>
          <w:p w:rsidR="008900B6" w:rsidRDefault="008900B6" w:rsidP="00970EBC">
            <w:r>
              <w:t>5 000,-</w:t>
            </w:r>
          </w:p>
        </w:tc>
        <w:tc>
          <w:tcPr>
            <w:tcW w:w="3259" w:type="dxa"/>
          </w:tcPr>
          <w:p w:rsidR="008900B6" w:rsidRDefault="008900B6" w:rsidP="00970EBC">
            <w:r>
              <w:t>250,-</w:t>
            </w:r>
          </w:p>
        </w:tc>
      </w:tr>
    </w:tbl>
    <w:p w:rsidR="00970EBC" w:rsidRDefault="00970EBC" w:rsidP="00970EBC">
      <w:r>
        <w:t xml:space="preserve"> </w:t>
      </w:r>
    </w:p>
    <w:p w:rsidR="008900B6" w:rsidRDefault="008900B6">
      <w:pPr>
        <w:widowControl/>
        <w:adjustRightInd/>
        <w:spacing w:line="240" w:lineRule="auto"/>
        <w:jc w:val="left"/>
        <w:textAlignment w:val="auto"/>
        <w:rPr>
          <w:rFonts w:cs="Arial"/>
          <w:b/>
          <w:bCs/>
          <w:caps/>
          <w:kern w:val="32"/>
          <w:sz w:val="32"/>
          <w:szCs w:val="32"/>
        </w:rPr>
      </w:pPr>
      <w:r>
        <w:br w:type="page"/>
      </w:r>
    </w:p>
    <w:p w:rsidR="0074246D" w:rsidRDefault="00970AE0" w:rsidP="0074246D">
      <w:pPr>
        <w:pStyle w:val="Nadpis1"/>
        <w:numPr>
          <w:ilvl w:val="0"/>
          <w:numId w:val="1"/>
        </w:numPr>
      </w:pPr>
      <w:bookmarkStart w:id="35" w:name="_Toc376422247"/>
      <w:r>
        <w:lastRenderedPageBreak/>
        <w:t>N</w:t>
      </w:r>
      <w:r w:rsidR="0074246D">
        <w:t>emocenské</w:t>
      </w:r>
      <w:r w:rsidR="00DF7CEF">
        <w:t xml:space="preserve"> pojištění</w:t>
      </w:r>
      <w:r w:rsidR="00C97F30">
        <w:t xml:space="preserve"> od roku </w:t>
      </w:r>
      <w:r w:rsidR="00C345B2">
        <w:t>2014</w:t>
      </w:r>
      <w:bookmarkEnd w:id="35"/>
    </w:p>
    <w:p w:rsidR="00DF7CEF" w:rsidRPr="00823407" w:rsidRDefault="00DF7CEF" w:rsidP="00823407">
      <w:pPr>
        <w:ind w:left="720"/>
        <w:rPr>
          <w:b/>
        </w:rPr>
      </w:pPr>
      <w:r w:rsidRPr="00823407">
        <w:rPr>
          <w:b/>
          <w:iCs/>
        </w:rPr>
        <w:t xml:space="preserve">Zákon </w:t>
      </w:r>
      <w:r w:rsidR="00823407">
        <w:rPr>
          <w:b/>
          <w:iCs/>
        </w:rPr>
        <w:t xml:space="preserve">č. </w:t>
      </w:r>
      <w:r w:rsidR="0074246D" w:rsidRPr="00823407">
        <w:rPr>
          <w:b/>
        </w:rPr>
        <w:t xml:space="preserve">187/2006 Sb. </w:t>
      </w:r>
    </w:p>
    <w:p w:rsidR="00365244" w:rsidRDefault="00365244" w:rsidP="00DF7CEF">
      <w:pPr>
        <w:rPr>
          <w:rStyle w:val="PromnnHTML"/>
        </w:rPr>
      </w:pPr>
    </w:p>
    <w:p w:rsidR="00927546" w:rsidRDefault="001D0BB8" w:rsidP="00DF7CEF">
      <w:pPr>
        <w:rPr>
          <w:rStyle w:val="PromnnHTML"/>
        </w:rPr>
      </w:pPr>
      <w:r>
        <w:rPr>
          <w:rStyle w:val="PromnnHTML"/>
        </w:rPr>
        <w:t>Nemocenské dávky v</w:t>
      </w:r>
      <w:r w:rsidR="00927546">
        <w:rPr>
          <w:rStyle w:val="PromnnHTML"/>
        </w:rPr>
        <w:t xml:space="preserve">yplácí </w:t>
      </w:r>
      <w:r w:rsidR="00927546" w:rsidRPr="009836B1">
        <w:rPr>
          <w:rStyle w:val="PromnnHTML"/>
          <w:b/>
        </w:rPr>
        <w:t>ČSSZ</w:t>
      </w:r>
      <w:r w:rsidR="009836B1" w:rsidRPr="009836B1">
        <w:rPr>
          <w:rStyle w:val="PromnnHTML"/>
          <w:b/>
        </w:rPr>
        <w:t>/OSSZ</w:t>
      </w:r>
      <w:r w:rsidR="00927546">
        <w:rPr>
          <w:rStyle w:val="PromnnHTML"/>
        </w:rPr>
        <w:t>, zaměstnavatel vyplácí pouze náhradu za dobu pracovní neschopnosti.</w:t>
      </w:r>
    </w:p>
    <w:p w:rsidR="00365244" w:rsidRDefault="00365244" w:rsidP="00DF7CEF">
      <w:pPr>
        <w:rPr>
          <w:rStyle w:val="PromnnHTML"/>
        </w:rPr>
      </w:pPr>
    </w:p>
    <w:tbl>
      <w:tblPr>
        <w:tblW w:w="5255" w:type="dxa"/>
        <w:tblInd w:w="55" w:type="dxa"/>
        <w:tblCellMar>
          <w:left w:w="70" w:type="dxa"/>
          <w:right w:w="70" w:type="dxa"/>
        </w:tblCellMar>
        <w:tblLook w:val="04A0" w:firstRow="1" w:lastRow="0" w:firstColumn="1" w:lastColumn="0" w:noHBand="0" w:noVBand="1"/>
      </w:tblPr>
      <w:tblGrid>
        <w:gridCol w:w="5109"/>
        <w:gridCol w:w="146"/>
      </w:tblGrid>
      <w:tr w:rsidR="004D0856" w:rsidRPr="004D0856">
        <w:trPr>
          <w:trHeight w:val="255"/>
        </w:trPr>
        <w:tc>
          <w:tcPr>
            <w:tcW w:w="5109" w:type="dxa"/>
            <w:tcBorders>
              <w:top w:val="nil"/>
              <w:left w:val="nil"/>
              <w:bottom w:val="nil"/>
              <w:right w:val="nil"/>
            </w:tcBorders>
            <w:shd w:val="clear" w:color="auto" w:fill="auto"/>
            <w:noWrap/>
            <w:vAlign w:val="bottom"/>
          </w:tcPr>
          <w:p w:rsidR="004D0856" w:rsidRPr="004D0856" w:rsidRDefault="004D0856" w:rsidP="00E07098">
            <w:pPr>
              <w:widowControl/>
              <w:adjustRightInd/>
              <w:spacing w:line="240" w:lineRule="auto"/>
              <w:jc w:val="left"/>
              <w:textAlignment w:val="auto"/>
              <w:rPr>
                <w:color w:val="000000"/>
                <w:szCs w:val="20"/>
              </w:rPr>
            </w:pPr>
          </w:p>
        </w:tc>
        <w:tc>
          <w:tcPr>
            <w:tcW w:w="146" w:type="dxa"/>
            <w:tcBorders>
              <w:top w:val="nil"/>
              <w:left w:val="nil"/>
              <w:bottom w:val="nil"/>
              <w:right w:val="nil"/>
            </w:tcBorders>
            <w:shd w:val="clear" w:color="auto" w:fill="auto"/>
            <w:noWrap/>
            <w:vAlign w:val="bottom"/>
          </w:tcPr>
          <w:p w:rsidR="004D0856" w:rsidRPr="004D0856" w:rsidRDefault="004D0856" w:rsidP="004D0856">
            <w:pPr>
              <w:widowControl/>
              <w:adjustRightInd/>
              <w:spacing w:line="240" w:lineRule="auto"/>
              <w:jc w:val="left"/>
              <w:textAlignment w:val="auto"/>
              <w:rPr>
                <w:color w:val="000000"/>
                <w:szCs w:val="20"/>
              </w:rPr>
            </w:pPr>
          </w:p>
        </w:tc>
      </w:tr>
      <w:tr w:rsidR="004D0856" w:rsidRPr="004D0856">
        <w:trPr>
          <w:trHeight w:val="285"/>
        </w:trPr>
        <w:tc>
          <w:tcPr>
            <w:tcW w:w="5109" w:type="dxa"/>
            <w:tcBorders>
              <w:top w:val="nil"/>
              <w:left w:val="nil"/>
              <w:bottom w:val="nil"/>
              <w:right w:val="nil"/>
            </w:tcBorders>
            <w:shd w:val="clear" w:color="auto" w:fill="auto"/>
            <w:noWrap/>
            <w:vAlign w:val="bottom"/>
          </w:tcPr>
          <w:p w:rsidR="004D0856" w:rsidRPr="004D0856" w:rsidRDefault="004D0856" w:rsidP="004D0856">
            <w:pPr>
              <w:widowControl/>
              <w:adjustRightInd/>
              <w:spacing w:line="240" w:lineRule="auto"/>
              <w:jc w:val="left"/>
              <w:textAlignment w:val="auto"/>
              <w:rPr>
                <w:b/>
                <w:bCs/>
                <w:color w:val="000000"/>
                <w:sz w:val="22"/>
                <w:szCs w:val="22"/>
              </w:rPr>
            </w:pPr>
            <w:r w:rsidRPr="004D0856">
              <w:rPr>
                <w:b/>
                <w:bCs/>
                <w:color w:val="000000"/>
                <w:sz w:val="22"/>
                <w:szCs w:val="22"/>
              </w:rPr>
              <w:t>Dávky vyplácené ČSSZ/OSSZ</w:t>
            </w:r>
          </w:p>
        </w:tc>
        <w:tc>
          <w:tcPr>
            <w:tcW w:w="146" w:type="dxa"/>
            <w:tcBorders>
              <w:top w:val="nil"/>
              <w:left w:val="nil"/>
              <w:bottom w:val="nil"/>
              <w:right w:val="nil"/>
            </w:tcBorders>
            <w:shd w:val="clear" w:color="auto" w:fill="auto"/>
            <w:noWrap/>
            <w:vAlign w:val="bottom"/>
          </w:tcPr>
          <w:p w:rsidR="004D0856" w:rsidRPr="004D0856" w:rsidRDefault="004D0856" w:rsidP="004D0856">
            <w:pPr>
              <w:widowControl/>
              <w:adjustRightInd/>
              <w:spacing w:line="240" w:lineRule="auto"/>
              <w:jc w:val="left"/>
              <w:textAlignment w:val="auto"/>
              <w:rPr>
                <w:color w:val="000000"/>
                <w:szCs w:val="20"/>
              </w:rPr>
            </w:pPr>
          </w:p>
        </w:tc>
      </w:tr>
    </w:tbl>
    <w:p w:rsidR="004D0856" w:rsidRDefault="004D0856" w:rsidP="00DF7CEF">
      <w:pPr>
        <w:rPr>
          <w:rStyle w:val="PromnnHTML"/>
        </w:rPr>
      </w:pPr>
    </w:p>
    <w:tbl>
      <w:tblPr>
        <w:tblW w:w="10260" w:type="dxa"/>
        <w:tblInd w:w="55" w:type="dxa"/>
        <w:tblCellMar>
          <w:left w:w="70" w:type="dxa"/>
          <w:right w:w="70" w:type="dxa"/>
        </w:tblCellMar>
        <w:tblLook w:val="04A0" w:firstRow="1" w:lastRow="0" w:firstColumn="1" w:lastColumn="0" w:noHBand="0" w:noVBand="1"/>
      </w:tblPr>
      <w:tblGrid>
        <w:gridCol w:w="1571"/>
        <w:gridCol w:w="1180"/>
        <w:gridCol w:w="613"/>
        <w:gridCol w:w="980"/>
        <w:gridCol w:w="1740"/>
        <w:gridCol w:w="1180"/>
        <w:gridCol w:w="613"/>
        <w:gridCol w:w="780"/>
        <w:gridCol w:w="1740"/>
      </w:tblGrid>
      <w:tr w:rsidR="00CE00AD" w:rsidRPr="00CE00AD">
        <w:trPr>
          <w:trHeight w:val="255"/>
        </w:trPr>
        <w:tc>
          <w:tcPr>
            <w:tcW w:w="1540" w:type="dxa"/>
            <w:tcBorders>
              <w:top w:val="nil"/>
              <w:left w:val="nil"/>
              <w:bottom w:val="nil"/>
              <w:right w:val="nil"/>
            </w:tcBorders>
            <w:shd w:val="clear" w:color="auto" w:fill="auto"/>
            <w:noWrap/>
            <w:vAlign w:val="bottom"/>
          </w:tcPr>
          <w:p w:rsidR="00CE00AD" w:rsidRPr="00CE00AD" w:rsidRDefault="00CE00AD" w:rsidP="00CE00AD">
            <w:pPr>
              <w:widowControl/>
              <w:adjustRightInd/>
              <w:spacing w:line="240" w:lineRule="auto"/>
              <w:jc w:val="left"/>
              <w:textAlignment w:val="auto"/>
              <w:rPr>
                <w:color w:val="000000"/>
                <w:szCs w:val="20"/>
              </w:rPr>
            </w:pPr>
          </w:p>
        </w:tc>
        <w:tc>
          <w:tcPr>
            <w:tcW w:w="1180" w:type="dxa"/>
            <w:tcBorders>
              <w:top w:val="single" w:sz="4" w:space="0" w:color="auto"/>
              <w:left w:val="single" w:sz="4" w:space="0" w:color="auto"/>
              <w:bottom w:val="single" w:sz="4" w:space="0" w:color="auto"/>
              <w:right w:val="single" w:sz="4" w:space="0" w:color="auto"/>
            </w:tcBorders>
            <w:shd w:val="clear" w:color="000000" w:fill="FF0000"/>
            <w:noWrap/>
            <w:vAlign w:val="bottom"/>
          </w:tcPr>
          <w:p w:rsidR="00CE00AD" w:rsidRPr="00CE00AD" w:rsidRDefault="00CE00AD" w:rsidP="00CE00AD">
            <w:pPr>
              <w:widowControl/>
              <w:adjustRightInd/>
              <w:spacing w:line="240" w:lineRule="auto"/>
              <w:jc w:val="left"/>
              <w:textAlignment w:val="auto"/>
              <w:rPr>
                <w:b/>
                <w:bCs/>
                <w:color w:val="000000"/>
                <w:szCs w:val="20"/>
              </w:rPr>
            </w:pPr>
            <w:r w:rsidRPr="00CE00AD">
              <w:rPr>
                <w:b/>
                <w:bCs/>
                <w:color w:val="000000"/>
                <w:szCs w:val="20"/>
              </w:rPr>
              <w:t xml:space="preserve">ROK </w:t>
            </w:r>
            <w:r w:rsidR="00C345B2">
              <w:rPr>
                <w:b/>
                <w:bCs/>
                <w:color w:val="000000"/>
                <w:szCs w:val="20"/>
              </w:rPr>
              <w:t>2013</w:t>
            </w:r>
          </w:p>
        </w:tc>
        <w:tc>
          <w:tcPr>
            <w:tcW w:w="560" w:type="dxa"/>
            <w:tcBorders>
              <w:top w:val="single" w:sz="4" w:space="0" w:color="auto"/>
              <w:left w:val="nil"/>
              <w:bottom w:val="single" w:sz="4" w:space="0" w:color="auto"/>
              <w:right w:val="single" w:sz="4" w:space="0" w:color="auto"/>
            </w:tcBorders>
            <w:shd w:val="clear" w:color="000000" w:fill="FF0000"/>
            <w:noWrap/>
            <w:vAlign w:val="bottom"/>
          </w:tcPr>
          <w:p w:rsidR="00CE00AD" w:rsidRPr="00CE00AD" w:rsidRDefault="00CE00AD" w:rsidP="00CE00AD">
            <w:pPr>
              <w:widowControl/>
              <w:adjustRightInd/>
              <w:spacing w:line="240" w:lineRule="auto"/>
              <w:jc w:val="left"/>
              <w:textAlignment w:val="auto"/>
              <w:rPr>
                <w:color w:val="000000"/>
                <w:szCs w:val="20"/>
              </w:rPr>
            </w:pPr>
            <w:r w:rsidRPr="00CE00AD">
              <w:rPr>
                <w:color w:val="000000"/>
                <w:szCs w:val="20"/>
              </w:rPr>
              <w:t> </w:t>
            </w:r>
          </w:p>
        </w:tc>
        <w:tc>
          <w:tcPr>
            <w:tcW w:w="980" w:type="dxa"/>
            <w:tcBorders>
              <w:top w:val="single" w:sz="4" w:space="0" w:color="auto"/>
              <w:left w:val="nil"/>
              <w:bottom w:val="single" w:sz="4" w:space="0" w:color="auto"/>
              <w:right w:val="single" w:sz="4" w:space="0" w:color="auto"/>
            </w:tcBorders>
            <w:shd w:val="clear" w:color="000000" w:fill="FF0000"/>
            <w:noWrap/>
            <w:vAlign w:val="bottom"/>
          </w:tcPr>
          <w:p w:rsidR="00CE00AD" w:rsidRPr="00CE00AD" w:rsidRDefault="00CE00AD" w:rsidP="00CE00AD">
            <w:pPr>
              <w:widowControl/>
              <w:adjustRightInd/>
              <w:spacing w:line="240" w:lineRule="auto"/>
              <w:jc w:val="left"/>
              <w:textAlignment w:val="auto"/>
              <w:rPr>
                <w:color w:val="000000"/>
                <w:szCs w:val="20"/>
              </w:rPr>
            </w:pPr>
            <w:r w:rsidRPr="00CE00AD">
              <w:rPr>
                <w:color w:val="000000"/>
                <w:szCs w:val="20"/>
              </w:rPr>
              <w:t> </w:t>
            </w:r>
          </w:p>
        </w:tc>
        <w:tc>
          <w:tcPr>
            <w:tcW w:w="1740" w:type="dxa"/>
            <w:tcBorders>
              <w:top w:val="single" w:sz="4" w:space="0" w:color="auto"/>
              <w:left w:val="nil"/>
              <w:bottom w:val="single" w:sz="4" w:space="0" w:color="auto"/>
              <w:right w:val="single" w:sz="4" w:space="0" w:color="auto"/>
            </w:tcBorders>
            <w:shd w:val="clear" w:color="000000" w:fill="FF0000"/>
            <w:noWrap/>
            <w:vAlign w:val="bottom"/>
          </w:tcPr>
          <w:p w:rsidR="00CE00AD" w:rsidRPr="00CE00AD" w:rsidRDefault="00CE00AD" w:rsidP="00CE00AD">
            <w:pPr>
              <w:widowControl/>
              <w:adjustRightInd/>
              <w:spacing w:line="240" w:lineRule="auto"/>
              <w:jc w:val="left"/>
              <w:textAlignment w:val="auto"/>
              <w:rPr>
                <w:color w:val="000000"/>
                <w:szCs w:val="20"/>
              </w:rPr>
            </w:pPr>
            <w:r w:rsidRPr="00CE00AD">
              <w:rPr>
                <w:color w:val="000000"/>
                <w:szCs w:val="20"/>
              </w:rPr>
              <w:t> </w:t>
            </w:r>
          </w:p>
        </w:tc>
        <w:tc>
          <w:tcPr>
            <w:tcW w:w="1180" w:type="dxa"/>
            <w:tcBorders>
              <w:top w:val="single" w:sz="4" w:space="0" w:color="auto"/>
              <w:left w:val="nil"/>
              <w:bottom w:val="single" w:sz="4" w:space="0" w:color="auto"/>
              <w:right w:val="single" w:sz="4" w:space="0" w:color="auto"/>
            </w:tcBorders>
            <w:shd w:val="clear" w:color="000000" w:fill="75923C"/>
            <w:noWrap/>
            <w:vAlign w:val="bottom"/>
          </w:tcPr>
          <w:p w:rsidR="00CE00AD" w:rsidRPr="00CE00AD" w:rsidRDefault="00CE00AD" w:rsidP="00CE00AD">
            <w:pPr>
              <w:widowControl/>
              <w:adjustRightInd/>
              <w:spacing w:line="240" w:lineRule="auto"/>
              <w:jc w:val="left"/>
              <w:textAlignment w:val="auto"/>
              <w:rPr>
                <w:b/>
                <w:bCs/>
                <w:color w:val="000000"/>
                <w:szCs w:val="20"/>
              </w:rPr>
            </w:pPr>
            <w:r w:rsidRPr="00CE00AD">
              <w:rPr>
                <w:b/>
                <w:bCs/>
                <w:color w:val="000000"/>
                <w:szCs w:val="20"/>
              </w:rPr>
              <w:t xml:space="preserve">ROK </w:t>
            </w:r>
            <w:r w:rsidR="00C345B2">
              <w:rPr>
                <w:b/>
                <w:bCs/>
                <w:color w:val="000000"/>
                <w:szCs w:val="20"/>
              </w:rPr>
              <w:t>2014</w:t>
            </w:r>
          </w:p>
        </w:tc>
        <w:tc>
          <w:tcPr>
            <w:tcW w:w="560" w:type="dxa"/>
            <w:tcBorders>
              <w:top w:val="single" w:sz="4" w:space="0" w:color="auto"/>
              <w:left w:val="nil"/>
              <w:bottom w:val="single" w:sz="4" w:space="0" w:color="auto"/>
              <w:right w:val="single" w:sz="4" w:space="0" w:color="auto"/>
            </w:tcBorders>
            <w:shd w:val="clear" w:color="000000" w:fill="75923C"/>
            <w:noWrap/>
            <w:vAlign w:val="bottom"/>
          </w:tcPr>
          <w:p w:rsidR="00CE00AD" w:rsidRPr="00CE00AD" w:rsidRDefault="00CE00AD" w:rsidP="00CE00AD">
            <w:pPr>
              <w:widowControl/>
              <w:adjustRightInd/>
              <w:spacing w:line="240" w:lineRule="auto"/>
              <w:jc w:val="left"/>
              <w:textAlignment w:val="auto"/>
              <w:rPr>
                <w:color w:val="000000"/>
                <w:szCs w:val="20"/>
              </w:rPr>
            </w:pPr>
            <w:r w:rsidRPr="00CE00AD">
              <w:rPr>
                <w:color w:val="000000"/>
                <w:szCs w:val="20"/>
              </w:rPr>
              <w:t> </w:t>
            </w:r>
          </w:p>
        </w:tc>
        <w:tc>
          <w:tcPr>
            <w:tcW w:w="780" w:type="dxa"/>
            <w:tcBorders>
              <w:top w:val="single" w:sz="4" w:space="0" w:color="auto"/>
              <w:left w:val="nil"/>
              <w:bottom w:val="single" w:sz="4" w:space="0" w:color="auto"/>
              <w:right w:val="single" w:sz="4" w:space="0" w:color="auto"/>
            </w:tcBorders>
            <w:shd w:val="clear" w:color="000000" w:fill="75923C"/>
            <w:noWrap/>
            <w:vAlign w:val="bottom"/>
          </w:tcPr>
          <w:p w:rsidR="00CE00AD" w:rsidRPr="00CE00AD" w:rsidRDefault="00CE00AD" w:rsidP="00CE00AD">
            <w:pPr>
              <w:widowControl/>
              <w:adjustRightInd/>
              <w:spacing w:line="240" w:lineRule="auto"/>
              <w:jc w:val="left"/>
              <w:textAlignment w:val="auto"/>
              <w:rPr>
                <w:color w:val="000000"/>
                <w:szCs w:val="20"/>
              </w:rPr>
            </w:pPr>
            <w:r w:rsidRPr="00CE00AD">
              <w:rPr>
                <w:color w:val="000000"/>
                <w:szCs w:val="20"/>
              </w:rPr>
              <w:t> </w:t>
            </w:r>
          </w:p>
        </w:tc>
        <w:tc>
          <w:tcPr>
            <w:tcW w:w="1740" w:type="dxa"/>
            <w:tcBorders>
              <w:top w:val="single" w:sz="4" w:space="0" w:color="auto"/>
              <w:left w:val="nil"/>
              <w:bottom w:val="single" w:sz="4" w:space="0" w:color="auto"/>
              <w:right w:val="single" w:sz="4" w:space="0" w:color="auto"/>
            </w:tcBorders>
            <w:shd w:val="clear" w:color="000000" w:fill="75923C"/>
            <w:noWrap/>
            <w:vAlign w:val="bottom"/>
          </w:tcPr>
          <w:p w:rsidR="00CE00AD" w:rsidRPr="00CE00AD" w:rsidRDefault="00CE00AD" w:rsidP="00CE00AD">
            <w:pPr>
              <w:widowControl/>
              <w:adjustRightInd/>
              <w:spacing w:line="240" w:lineRule="auto"/>
              <w:jc w:val="left"/>
              <w:textAlignment w:val="auto"/>
              <w:rPr>
                <w:color w:val="000000"/>
                <w:szCs w:val="20"/>
              </w:rPr>
            </w:pPr>
            <w:r w:rsidRPr="00CE00AD">
              <w:rPr>
                <w:color w:val="000000"/>
                <w:szCs w:val="20"/>
              </w:rPr>
              <w:t> </w:t>
            </w:r>
          </w:p>
        </w:tc>
      </w:tr>
      <w:tr w:rsidR="00CE00AD" w:rsidRPr="00CE00AD">
        <w:trPr>
          <w:trHeight w:val="255"/>
        </w:trPr>
        <w:tc>
          <w:tcPr>
            <w:tcW w:w="1540" w:type="dxa"/>
            <w:tcBorders>
              <w:top w:val="nil"/>
              <w:left w:val="nil"/>
              <w:bottom w:val="nil"/>
              <w:right w:val="nil"/>
            </w:tcBorders>
            <w:shd w:val="clear" w:color="auto" w:fill="auto"/>
            <w:noWrap/>
            <w:vAlign w:val="bottom"/>
          </w:tcPr>
          <w:p w:rsidR="00CE00AD" w:rsidRPr="00CE00AD" w:rsidRDefault="00CE00AD" w:rsidP="00CE00AD">
            <w:pPr>
              <w:widowControl/>
              <w:adjustRightInd/>
              <w:spacing w:line="240" w:lineRule="auto"/>
              <w:jc w:val="left"/>
              <w:textAlignment w:val="auto"/>
              <w:rPr>
                <w:color w:val="000000"/>
                <w:szCs w:val="20"/>
              </w:rPr>
            </w:pPr>
          </w:p>
        </w:tc>
        <w:tc>
          <w:tcPr>
            <w:tcW w:w="1180" w:type="dxa"/>
            <w:tcBorders>
              <w:top w:val="nil"/>
              <w:left w:val="single" w:sz="4" w:space="0" w:color="auto"/>
              <w:bottom w:val="single" w:sz="4" w:space="0" w:color="auto"/>
              <w:right w:val="single" w:sz="4" w:space="0" w:color="auto"/>
            </w:tcBorders>
            <w:shd w:val="clear" w:color="000000" w:fill="FF0000"/>
            <w:noWrap/>
            <w:vAlign w:val="bottom"/>
          </w:tcPr>
          <w:p w:rsidR="00CE00AD" w:rsidRPr="00CE00AD" w:rsidRDefault="00CE00AD" w:rsidP="00CE00AD">
            <w:pPr>
              <w:widowControl/>
              <w:adjustRightInd/>
              <w:spacing w:line="240" w:lineRule="auto"/>
              <w:jc w:val="left"/>
              <w:textAlignment w:val="auto"/>
              <w:rPr>
                <w:color w:val="000000"/>
                <w:szCs w:val="20"/>
              </w:rPr>
            </w:pPr>
            <w:r w:rsidRPr="00CE00AD">
              <w:rPr>
                <w:color w:val="000000"/>
                <w:szCs w:val="20"/>
              </w:rPr>
              <w:t> </w:t>
            </w:r>
          </w:p>
        </w:tc>
        <w:tc>
          <w:tcPr>
            <w:tcW w:w="560" w:type="dxa"/>
            <w:tcBorders>
              <w:top w:val="nil"/>
              <w:left w:val="nil"/>
              <w:bottom w:val="single" w:sz="4" w:space="0" w:color="auto"/>
              <w:right w:val="single" w:sz="4" w:space="0" w:color="auto"/>
            </w:tcBorders>
            <w:shd w:val="clear" w:color="000000" w:fill="FF0000"/>
            <w:noWrap/>
            <w:vAlign w:val="bottom"/>
          </w:tcPr>
          <w:p w:rsidR="00CE00AD" w:rsidRPr="00CE00AD" w:rsidRDefault="00CE00AD" w:rsidP="00CE00AD">
            <w:pPr>
              <w:widowControl/>
              <w:adjustRightInd/>
              <w:spacing w:line="240" w:lineRule="auto"/>
              <w:jc w:val="left"/>
              <w:textAlignment w:val="auto"/>
              <w:rPr>
                <w:color w:val="000000"/>
                <w:szCs w:val="20"/>
              </w:rPr>
            </w:pPr>
            <w:r w:rsidRPr="00CE00AD">
              <w:rPr>
                <w:color w:val="000000"/>
                <w:szCs w:val="20"/>
              </w:rPr>
              <w:t> </w:t>
            </w:r>
          </w:p>
        </w:tc>
        <w:tc>
          <w:tcPr>
            <w:tcW w:w="980" w:type="dxa"/>
            <w:tcBorders>
              <w:top w:val="nil"/>
              <w:left w:val="nil"/>
              <w:bottom w:val="single" w:sz="4" w:space="0" w:color="auto"/>
              <w:right w:val="single" w:sz="4" w:space="0" w:color="auto"/>
            </w:tcBorders>
            <w:shd w:val="clear" w:color="000000" w:fill="FF0000"/>
            <w:noWrap/>
            <w:vAlign w:val="bottom"/>
          </w:tcPr>
          <w:p w:rsidR="00CE00AD" w:rsidRPr="00CE00AD" w:rsidRDefault="00CE00AD" w:rsidP="00CE00AD">
            <w:pPr>
              <w:widowControl/>
              <w:adjustRightInd/>
              <w:spacing w:line="240" w:lineRule="auto"/>
              <w:jc w:val="left"/>
              <w:textAlignment w:val="auto"/>
              <w:rPr>
                <w:color w:val="000000"/>
                <w:szCs w:val="20"/>
              </w:rPr>
            </w:pPr>
            <w:r w:rsidRPr="00CE00AD">
              <w:rPr>
                <w:color w:val="000000"/>
                <w:szCs w:val="20"/>
              </w:rPr>
              <w:t> </w:t>
            </w:r>
          </w:p>
        </w:tc>
        <w:tc>
          <w:tcPr>
            <w:tcW w:w="1740" w:type="dxa"/>
            <w:tcBorders>
              <w:top w:val="nil"/>
              <w:left w:val="nil"/>
              <w:bottom w:val="single" w:sz="4" w:space="0" w:color="auto"/>
              <w:right w:val="single" w:sz="4" w:space="0" w:color="auto"/>
            </w:tcBorders>
            <w:shd w:val="clear" w:color="000000" w:fill="FF0000"/>
            <w:noWrap/>
            <w:vAlign w:val="bottom"/>
          </w:tcPr>
          <w:p w:rsidR="00CE00AD" w:rsidRPr="00CE00AD" w:rsidRDefault="00CE00AD" w:rsidP="00CE00AD">
            <w:pPr>
              <w:widowControl/>
              <w:adjustRightInd/>
              <w:spacing w:line="240" w:lineRule="auto"/>
              <w:jc w:val="left"/>
              <w:textAlignment w:val="auto"/>
              <w:rPr>
                <w:color w:val="000000"/>
                <w:szCs w:val="20"/>
              </w:rPr>
            </w:pPr>
            <w:r w:rsidRPr="00CE00AD">
              <w:rPr>
                <w:color w:val="000000"/>
                <w:szCs w:val="20"/>
              </w:rPr>
              <w:t> </w:t>
            </w:r>
          </w:p>
        </w:tc>
        <w:tc>
          <w:tcPr>
            <w:tcW w:w="1180" w:type="dxa"/>
            <w:tcBorders>
              <w:top w:val="nil"/>
              <w:left w:val="nil"/>
              <w:bottom w:val="single" w:sz="4" w:space="0" w:color="auto"/>
              <w:right w:val="single" w:sz="4" w:space="0" w:color="auto"/>
            </w:tcBorders>
            <w:shd w:val="clear" w:color="000000" w:fill="75923C"/>
            <w:noWrap/>
            <w:vAlign w:val="bottom"/>
          </w:tcPr>
          <w:p w:rsidR="00CE00AD" w:rsidRPr="00CE00AD" w:rsidRDefault="00CE00AD" w:rsidP="00CE00AD">
            <w:pPr>
              <w:widowControl/>
              <w:adjustRightInd/>
              <w:spacing w:line="240" w:lineRule="auto"/>
              <w:jc w:val="left"/>
              <w:textAlignment w:val="auto"/>
              <w:rPr>
                <w:color w:val="000000"/>
                <w:szCs w:val="20"/>
              </w:rPr>
            </w:pPr>
            <w:r w:rsidRPr="00CE00AD">
              <w:rPr>
                <w:color w:val="000000"/>
                <w:szCs w:val="20"/>
              </w:rPr>
              <w:t> </w:t>
            </w:r>
          </w:p>
        </w:tc>
        <w:tc>
          <w:tcPr>
            <w:tcW w:w="560" w:type="dxa"/>
            <w:tcBorders>
              <w:top w:val="nil"/>
              <w:left w:val="nil"/>
              <w:bottom w:val="single" w:sz="4" w:space="0" w:color="auto"/>
              <w:right w:val="single" w:sz="4" w:space="0" w:color="auto"/>
            </w:tcBorders>
            <w:shd w:val="clear" w:color="000000" w:fill="75923C"/>
            <w:noWrap/>
            <w:vAlign w:val="bottom"/>
          </w:tcPr>
          <w:p w:rsidR="00CE00AD" w:rsidRPr="00CE00AD" w:rsidRDefault="00CE00AD" w:rsidP="00CE00AD">
            <w:pPr>
              <w:widowControl/>
              <w:adjustRightInd/>
              <w:spacing w:line="240" w:lineRule="auto"/>
              <w:jc w:val="left"/>
              <w:textAlignment w:val="auto"/>
              <w:rPr>
                <w:color w:val="000000"/>
                <w:szCs w:val="20"/>
              </w:rPr>
            </w:pPr>
            <w:r w:rsidRPr="00CE00AD">
              <w:rPr>
                <w:color w:val="000000"/>
                <w:szCs w:val="20"/>
              </w:rPr>
              <w:t> </w:t>
            </w:r>
          </w:p>
        </w:tc>
        <w:tc>
          <w:tcPr>
            <w:tcW w:w="780" w:type="dxa"/>
            <w:tcBorders>
              <w:top w:val="nil"/>
              <w:left w:val="nil"/>
              <w:bottom w:val="single" w:sz="4" w:space="0" w:color="auto"/>
              <w:right w:val="single" w:sz="4" w:space="0" w:color="auto"/>
            </w:tcBorders>
            <w:shd w:val="clear" w:color="000000" w:fill="75923C"/>
            <w:noWrap/>
            <w:vAlign w:val="bottom"/>
          </w:tcPr>
          <w:p w:rsidR="00CE00AD" w:rsidRPr="00CE00AD" w:rsidRDefault="00CE00AD" w:rsidP="00CE00AD">
            <w:pPr>
              <w:widowControl/>
              <w:adjustRightInd/>
              <w:spacing w:line="240" w:lineRule="auto"/>
              <w:jc w:val="left"/>
              <w:textAlignment w:val="auto"/>
              <w:rPr>
                <w:color w:val="000000"/>
                <w:szCs w:val="20"/>
              </w:rPr>
            </w:pPr>
            <w:r w:rsidRPr="00CE00AD">
              <w:rPr>
                <w:color w:val="000000"/>
                <w:szCs w:val="20"/>
              </w:rPr>
              <w:t> </w:t>
            </w:r>
          </w:p>
        </w:tc>
        <w:tc>
          <w:tcPr>
            <w:tcW w:w="1740" w:type="dxa"/>
            <w:tcBorders>
              <w:top w:val="nil"/>
              <w:left w:val="nil"/>
              <w:bottom w:val="single" w:sz="4" w:space="0" w:color="auto"/>
              <w:right w:val="single" w:sz="4" w:space="0" w:color="auto"/>
            </w:tcBorders>
            <w:shd w:val="clear" w:color="000000" w:fill="75923C"/>
            <w:noWrap/>
            <w:vAlign w:val="bottom"/>
          </w:tcPr>
          <w:p w:rsidR="00CE00AD" w:rsidRPr="00CE00AD" w:rsidRDefault="00CE00AD" w:rsidP="00CE00AD">
            <w:pPr>
              <w:widowControl/>
              <w:adjustRightInd/>
              <w:spacing w:line="240" w:lineRule="auto"/>
              <w:jc w:val="left"/>
              <w:textAlignment w:val="auto"/>
              <w:rPr>
                <w:color w:val="000000"/>
                <w:szCs w:val="20"/>
              </w:rPr>
            </w:pPr>
            <w:r w:rsidRPr="00CE00AD">
              <w:rPr>
                <w:color w:val="000000"/>
                <w:szCs w:val="20"/>
              </w:rPr>
              <w:t> </w:t>
            </w:r>
          </w:p>
        </w:tc>
      </w:tr>
      <w:tr w:rsidR="00CE00AD" w:rsidRPr="00CE00AD">
        <w:trPr>
          <w:trHeight w:val="255"/>
        </w:trPr>
        <w:tc>
          <w:tcPr>
            <w:tcW w:w="1540" w:type="dxa"/>
            <w:tcBorders>
              <w:top w:val="nil"/>
              <w:left w:val="nil"/>
              <w:bottom w:val="nil"/>
              <w:right w:val="nil"/>
            </w:tcBorders>
            <w:shd w:val="clear" w:color="auto" w:fill="auto"/>
            <w:noWrap/>
            <w:vAlign w:val="bottom"/>
          </w:tcPr>
          <w:p w:rsidR="00CE00AD" w:rsidRPr="00CE00AD" w:rsidRDefault="00CE00AD" w:rsidP="00CE00AD">
            <w:pPr>
              <w:widowControl/>
              <w:adjustRightInd/>
              <w:spacing w:line="240" w:lineRule="auto"/>
              <w:jc w:val="left"/>
              <w:textAlignment w:val="auto"/>
              <w:rPr>
                <w:color w:val="000000"/>
                <w:szCs w:val="20"/>
              </w:rPr>
            </w:pPr>
          </w:p>
        </w:tc>
        <w:tc>
          <w:tcPr>
            <w:tcW w:w="1180" w:type="dxa"/>
            <w:tcBorders>
              <w:top w:val="nil"/>
              <w:left w:val="single" w:sz="4" w:space="0" w:color="auto"/>
              <w:bottom w:val="single" w:sz="4" w:space="0" w:color="auto"/>
              <w:right w:val="single" w:sz="4" w:space="0" w:color="auto"/>
            </w:tcBorders>
            <w:shd w:val="clear" w:color="000000" w:fill="C5BE97"/>
            <w:noWrap/>
            <w:vAlign w:val="bottom"/>
          </w:tcPr>
          <w:p w:rsidR="00CE00AD" w:rsidRPr="00CE00AD" w:rsidRDefault="00CE00AD" w:rsidP="00CE00AD">
            <w:pPr>
              <w:widowControl/>
              <w:adjustRightInd/>
              <w:spacing w:line="240" w:lineRule="auto"/>
              <w:jc w:val="left"/>
              <w:textAlignment w:val="auto"/>
              <w:rPr>
                <w:color w:val="000000"/>
                <w:szCs w:val="20"/>
              </w:rPr>
            </w:pPr>
            <w:r w:rsidRPr="00CE00AD">
              <w:rPr>
                <w:color w:val="000000"/>
                <w:szCs w:val="20"/>
              </w:rPr>
              <w:t>od</w:t>
            </w:r>
          </w:p>
        </w:tc>
        <w:tc>
          <w:tcPr>
            <w:tcW w:w="560" w:type="dxa"/>
            <w:tcBorders>
              <w:top w:val="nil"/>
              <w:left w:val="nil"/>
              <w:bottom w:val="single" w:sz="4" w:space="0" w:color="auto"/>
              <w:right w:val="single" w:sz="4" w:space="0" w:color="auto"/>
            </w:tcBorders>
            <w:shd w:val="clear" w:color="000000" w:fill="C5BE97"/>
            <w:noWrap/>
            <w:vAlign w:val="bottom"/>
          </w:tcPr>
          <w:p w:rsidR="00CE00AD" w:rsidRPr="00CE00AD" w:rsidRDefault="00CE00AD" w:rsidP="00CE00AD">
            <w:pPr>
              <w:widowControl/>
              <w:adjustRightInd/>
              <w:spacing w:line="240" w:lineRule="auto"/>
              <w:jc w:val="left"/>
              <w:textAlignment w:val="auto"/>
              <w:rPr>
                <w:color w:val="000000"/>
                <w:szCs w:val="20"/>
              </w:rPr>
            </w:pPr>
            <w:r w:rsidRPr="00CE00AD">
              <w:rPr>
                <w:color w:val="000000"/>
                <w:szCs w:val="20"/>
              </w:rPr>
              <w:t>do</w:t>
            </w:r>
          </w:p>
        </w:tc>
        <w:tc>
          <w:tcPr>
            <w:tcW w:w="980" w:type="dxa"/>
            <w:tcBorders>
              <w:top w:val="nil"/>
              <w:left w:val="nil"/>
              <w:bottom w:val="single" w:sz="4" w:space="0" w:color="auto"/>
              <w:right w:val="single" w:sz="4" w:space="0" w:color="auto"/>
            </w:tcBorders>
            <w:shd w:val="clear" w:color="000000" w:fill="C5BE97"/>
            <w:noWrap/>
            <w:vAlign w:val="bottom"/>
          </w:tcPr>
          <w:p w:rsidR="00CE00AD" w:rsidRPr="00CE00AD" w:rsidRDefault="00CE00AD" w:rsidP="00CE00AD">
            <w:pPr>
              <w:widowControl/>
              <w:adjustRightInd/>
              <w:spacing w:line="240" w:lineRule="auto"/>
              <w:jc w:val="left"/>
              <w:textAlignment w:val="auto"/>
              <w:rPr>
                <w:color w:val="000000"/>
                <w:szCs w:val="20"/>
              </w:rPr>
            </w:pPr>
            <w:r w:rsidRPr="00CE00AD">
              <w:rPr>
                <w:color w:val="000000"/>
                <w:szCs w:val="20"/>
              </w:rPr>
              <w:t>DVZ %</w:t>
            </w:r>
          </w:p>
        </w:tc>
        <w:tc>
          <w:tcPr>
            <w:tcW w:w="1740" w:type="dxa"/>
            <w:tcBorders>
              <w:top w:val="nil"/>
              <w:left w:val="nil"/>
              <w:bottom w:val="single" w:sz="4" w:space="0" w:color="auto"/>
              <w:right w:val="single" w:sz="4" w:space="0" w:color="auto"/>
            </w:tcBorders>
            <w:shd w:val="clear" w:color="000000" w:fill="C5BE97"/>
            <w:noWrap/>
            <w:vAlign w:val="bottom"/>
          </w:tcPr>
          <w:p w:rsidR="00CE00AD" w:rsidRPr="00CE00AD" w:rsidRDefault="00CE00AD" w:rsidP="00CE00AD">
            <w:pPr>
              <w:widowControl/>
              <w:adjustRightInd/>
              <w:spacing w:line="240" w:lineRule="auto"/>
              <w:jc w:val="left"/>
              <w:textAlignment w:val="auto"/>
              <w:rPr>
                <w:color w:val="000000"/>
                <w:szCs w:val="20"/>
              </w:rPr>
            </w:pPr>
            <w:r w:rsidRPr="00CE00AD">
              <w:rPr>
                <w:color w:val="000000"/>
                <w:szCs w:val="20"/>
              </w:rPr>
              <w:t>redukovaný DVZ</w:t>
            </w:r>
          </w:p>
        </w:tc>
        <w:tc>
          <w:tcPr>
            <w:tcW w:w="1180" w:type="dxa"/>
            <w:tcBorders>
              <w:top w:val="nil"/>
              <w:left w:val="nil"/>
              <w:bottom w:val="single" w:sz="4" w:space="0" w:color="auto"/>
              <w:right w:val="single" w:sz="4" w:space="0" w:color="auto"/>
            </w:tcBorders>
            <w:shd w:val="clear" w:color="000000" w:fill="C5BE97"/>
            <w:noWrap/>
            <w:vAlign w:val="bottom"/>
          </w:tcPr>
          <w:p w:rsidR="00CE00AD" w:rsidRPr="00CE00AD" w:rsidRDefault="00CE00AD" w:rsidP="00CE00AD">
            <w:pPr>
              <w:widowControl/>
              <w:adjustRightInd/>
              <w:spacing w:line="240" w:lineRule="auto"/>
              <w:jc w:val="left"/>
              <w:textAlignment w:val="auto"/>
              <w:rPr>
                <w:color w:val="000000"/>
                <w:szCs w:val="20"/>
              </w:rPr>
            </w:pPr>
            <w:r w:rsidRPr="00CE00AD">
              <w:rPr>
                <w:color w:val="000000"/>
                <w:szCs w:val="20"/>
              </w:rPr>
              <w:t>od</w:t>
            </w:r>
          </w:p>
        </w:tc>
        <w:tc>
          <w:tcPr>
            <w:tcW w:w="560" w:type="dxa"/>
            <w:tcBorders>
              <w:top w:val="nil"/>
              <w:left w:val="nil"/>
              <w:bottom w:val="single" w:sz="4" w:space="0" w:color="auto"/>
              <w:right w:val="single" w:sz="4" w:space="0" w:color="auto"/>
            </w:tcBorders>
            <w:shd w:val="clear" w:color="000000" w:fill="C5BE97"/>
            <w:noWrap/>
            <w:vAlign w:val="bottom"/>
          </w:tcPr>
          <w:p w:rsidR="00CE00AD" w:rsidRPr="00CE00AD" w:rsidRDefault="00CE00AD" w:rsidP="00CE00AD">
            <w:pPr>
              <w:widowControl/>
              <w:adjustRightInd/>
              <w:spacing w:line="240" w:lineRule="auto"/>
              <w:jc w:val="left"/>
              <w:textAlignment w:val="auto"/>
              <w:rPr>
                <w:color w:val="000000"/>
                <w:szCs w:val="20"/>
              </w:rPr>
            </w:pPr>
            <w:r w:rsidRPr="00CE00AD">
              <w:rPr>
                <w:color w:val="000000"/>
                <w:szCs w:val="20"/>
              </w:rPr>
              <w:t>do</w:t>
            </w:r>
          </w:p>
        </w:tc>
        <w:tc>
          <w:tcPr>
            <w:tcW w:w="780" w:type="dxa"/>
            <w:tcBorders>
              <w:top w:val="nil"/>
              <w:left w:val="nil"/>
              <w:bottom w:val="single" w:sz="4" w:space="0" w:color="auto"/>
              <w:right w:val="single" w:sz="4" w:space="0" w:color="auto"/>
            </w:tcBorders>
            <w:shd w:val="clear" w:color="000000" w:fill="C5BE97"/>
            <w:noWrap/>
            <w:vAlign w:val="bottom"/>
          </w:tcPr>
          <w:p w:rsidR="00CE00AD" w:rsidRPr="00CE00AD" w:rsidRDefault="00CE00AD" w:rsidP="00CE00AD">
            <w:pPr>
              <w:widowControl/>
              <w:adjustRightInd/>
              <w:spacing w:line="240" w:lineRule="auto"/>
              <w:jc w:val="left"/>
              <w:textAlignment w:val="auto"/>
              <w:rPr>
                <w:color w:val="000000"/>
                <w:szCs w:val="20"/>
              </w:rPr>
            </w:pPr>
            <w:r w:rsidRPr="00CE00AD">
              <w:rPr>
                <w:color w:val="000000"/>
                <w:szCs w:val="20"/>
              </w:rPr>
              <w:t>DVZ %</w:t>
            </w:r>
          </w:p>
        </w:tc>
        <w:tc>
          <w:tcPr>
            <w:tcW w:w="1740" w:type="dxa"/>
            <w:tcBorders>
              <w:top w:val="nil"/>
              <w:left w:val="nil"/>
              <w:bottom w:val="single" w:sz="4" w:space="0" w:color="auto"/>
              <w:right w:val="single" w:sz="4" w:space="0" w:color="auto"/>
            </w:tcBorders>
            <w:shd w:val="clear" w:color="000000" w:fill="C5BE97"/>
            <w:noWrap/>
            <w:vAlign w:val="bottom"/>
          </w:tcPr>
          <w:p w:rsidR="00CE00AD" w:rsidRPr="00CE00AD" w:rsidRDefault="00CE00AD" w:rsidP="00CE00AD">
            <w:pPr>
              <w:widowControl/>
              <w:adjustRightInd/>
              <w:spacing w:line="240" w:lineRule="auto"/>
              <w:jc w:val="left"/>
              <w:textAlignment w:val="auto"/>
              <w:rPr>
                <w:color w:val="000000"/>
                <w:szCs w:val="20"/>
              </w:rPr>
            </w:pPr>
            <w:r w:rsidRPr="00CE00AD">
              <w:rPr>
                <w:color w:val="000000"/>
                <w:szCs w:val="20"/>
              </w:rPr>
              <w:t>redukovaný DVZ</w:t>
            </w:r>
          </w:p>
        </w:tc>
      </w:tr>
      <w:tr w:rsidR="00CE00AD" w:rsidRPr="00CE00AD">
        <w:trPr>
          <w:trHeight w:val="25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00AD" w:rsidRPr="00CE00AD" w:rsidRDefault="00CE00AD" w:rsidP="00CE00AD">
            <w:pPr>
              <w:widowControl/>
              <w:adjustRightInd/>
              <w:spacing w:line="240" w:lineRule="auto"/>
              <w:jc w:val="left"/>
              <w:textAlignment w:val="auto"/>
              <w:rPr>
                <w:b/>
                <w:bCs/>
                <w:color w:val="000000"/>
                <w:szCs w:val="20"/>
              </w:rPr>
            </w:pPr>
            <w:r w:rsidRPr="00CE00AD">
              <w:rPr>
                <w:b/>
                <w:bCs/>
                <w:color w:val="000000"/>
                <w:szCs w:val="20"/>
              </w:rPr>
              <w:t>Nemocenská</w:t>
            </w:r>
          </w:p>
        </w:tc>
        <w:tc>
          <w:tcPr>
            <w:tcW w:w="1180" w:type="dxa"/>
            <w:tcBorders>
              <w:top w:val="nil"/>
              <w:left w:val="nil"/>
              <w:bottom w:val="single" w:sz="4" w:space="0" w:color="auto"/>
              <w:right w:val="single" w:sz="4" w:space="0" w:color="auto"/>
            </w:tcBorders>
            <w:shd w:val="clear" w:color="000000" w:fill="FF0000"/>
            <w:noWrap/>
            <w:vAlign w:val="bottom"/>
          </w:tcPr>
          <w:p w:rsidR="00CE00AD" w:rsidRPr="00CE00AD" w:rsidRDefault="003052AA" w:rsidP="00CE00AD">
            <w:pPr>
              <w:widowControl/>
              <w:adjustRightInd/>
              <w:spacing w:line="240" w:lineRule="auto"/>
              <w:jc w:val="left"/>
              <w:textAlignment w:val="auto"/>
              <w:rPr>
                <w:color w:val="000000"/>
                <w:szCs w:val="20"/>
              </w:rPr>
            </w:pPr>
            <w:r>
              <w:rPr>
                <w:color w:val="000000"/>
                <w:szCs w:val="20"/>
              </w:rPr>
              <w:t>22</w:t>
            </w:r>
            <w:r w:rsidR="00CE00AD" w:rsidRPr="00CE00AD">
              <w:rPr>
                <w:color w:val="000000"/>
                <w:szCs w:val="20"/>
              </w:rPr>
              <w:t>. dne</w:t>
            </w:r>
          </w:p>
        </w:tc>
        <w:tc>
          <w:tcPr>
            <w:tcW w:w="560" w:type="dxa"/>
            <w:tcBorders>
              <w:top w:val="nil"/>
              <w:left w:val="nil"/>
              <w:bottom w:val="single" w:sz="4" w:space="0" w:color="auto"/>
              <w:right w:val="single" w:sz="4" w:space="0" w:color="auto"/>
            </w:tcBorders>
            <w:shd w:val="clear" w:color="000000" w:fill="FF0000"/>
            <w:noWrap/>
            <w:vAlign w:val="bottom"/>
          </w:tcPr>
          <w:p w:rsidR="00CE00AD" w:rsidRPr="00CE00AD" w:rsidRDefault="00CE00AD" w:rsidP="00CE00AD">
            <w:pPr>
              <w:widowControl/>
              <w:adjustRightInd/>
              <w:spacing w:line="240" w:lineRule="auto"/>
              <w:jc w:val="left"/>
              <w:textAlignment w:val="auto"/>
              <w:rPr>
                <w:color w:val="000000"/>
                <w:szCs w:val="20"/>
              </w:rPr>
            </w:pPr>
            <w:r w:rsidRPr="00CE00AD">
              <w:rPr>
                <w:color w:val="000000"/>
                <w:szCs w:val="20"/>
              </w:rPr>
              <w:t> </w:t>
            </w:r>
          </w:p>
        </w:tc>
        <w:tc>
          <w:tcPr>
            <w:tcW w:w="980" w:type="dxa"/>
            <w:tcBorders>
              <w:top w:val="nil"/>
              <w:left w:val="nil"/>
              <w:bottom w:val="single" w:sz="4" w:space="0" w:color="auto"/>
              <w:right w:val="single" w:sz="4" w:space="0" w:color="auto"/>
            </w:tcBorders>
            <w:shd w:val="clear" w:color="000000" w:fill="FF0000"/>
            <w:noWrap/>
            <w:vAlign w:val="bottom"/>
          </w:tcPr>
          <w:p w:rsidR="00CE00AD" w:rsidRPr="00CE00AD" w:rsidRDefault="00CE00AD" w:rsidP="007B4672">
            <w:pPr>
              <w:widowControl/>
              <w:adjustRightInd/>
              <w:spacing w:line="240" w:lineRule="auto"/>
              <w:jc w:val="left"/>
              <w:textAlignment w:val="auto"/>
              <w:rPr>
                <w:color w:val="000000"/>
                <w:szCs w:val="20"/>
              </w:rPr>
            </w:pPr>
            <w:r w:rsidRPr="00CE00AD">
              <w:rPr>
                <w:color w:val="000000"/>
                <w:szCs w:val="20"/>
              </w:rPr>
              <w:t>60</w:t>
            </w:r>
          </w:p>
        </w:tc>
        <w:tc>
          <w:tcPr>
            <w:tcW w:w="1740" w:type="dxa"/>
            <w:tcBorders>
              <w:top w:val="nil"/>
              <w:left w:val="nil"/>
              <w:bottom w:val="single" w:sz="4" w:space="0" w:color="auto"/>
              <w:right w:val="single" w:sz="4" w:space="0" w:color="auto"/>
            </w:tcBorders>
            <w:shd w:val="clear" w:color="000000" w:fill="FF0000"/>
            <w:noWrap/>
            <w:vAlign w:val="bottom"/>
          </w:tcPr>
          <w:p w:rsidR="00CE00AD" w:rsidRPr="00CE00AD" w:rsidRDefault="00CE00AD" w:rsidP="00CE00AD">
            <w:pPr>
              <w:widowControl/>
              <w:adjustRightInd/>
              <w:spacing w:line="240" w:lineRule="auto"/>
              <w:jc w:val="left"/>
              <w:textAlignment w:val="auto"/>
              <w:rPr>
                <w:color w:val="000000"/>
                <w:szCs w:val="20"/>
              </w:rPr>
            </w:pPr>
            <w:r w:rsidRPr="00CE00AD">
              <w:rPr>
                <w:color w:val="000000"/>
                <w:szCs w:val="20"/>
              </w:rPr>
              <w:t>do 1. RH 90%</w:t>
            </w:r>
          </w:p>
        </w:tc>
        <w:tc>
          <w:tcPr>
            <w:tcW w:w="1180" w:type="dxa"/>
            <w:tcBorders>
              <w:top w:val="nil"/>
              <w:left w:val="nil"/>
              <w:bottom w:val="single" w:sz="4" w:space="0" w:color="auto"/>
              <w:right w:val="single" w:sz="4" w:space="0" w:color="auto"/>
            </w:tcBorders>
            <w:shd w:val="clear" w:color="000000" w:fill="75923C"/>
            <w:noWrap/>
            <w:vAlign w:val="bottom"/>
          </w:tcPr>
          <w:p w:rsidR="00CE00AD" w:rsidRPr="007B4672" w:rsidRDefault="00361C5D" w:rsidP="00CE00AD">
            <w:pPr>
              <w:widowControl/>
              <w:adjustRightInd/>
              <w:spacing w:line="240" w:lineRule="auto"/>
              <w:jc w:val="left"/>
              <w:textAlignment w:val="auto"/>
              <w:rPr>
                <w:b/>
                <w:color w:val="000000"/>
                <w:szCs w:val="20"/>
              </w:rPr>
            </w:pPr>
            <w:r>
              <w:rPr>
                <w:b/>
                <w:color w:val="000000"/>
                <w:szCs w:val="20"/>
              </w:rPr>
              <w:t>15</w:t>
            </w:r>
            <w:r w:rsidR="00CE00AD" w:rsidRPr="007B4672">
              <w:rPr>
                <w:b/>
                <w:color w:val="000000"/>
                <w:szCs w:val="20"/>
              </w:rPr>
              <w:t>.dne</w:t>
            </w:r>
          </w:p>
        </w:tc>
        <w:tc>
          <w:tcPr>
            <w:tcW w:w="560" w:type="dxa"/>
            <w:tcBorders>
              <w:top w:val="nil"/>
              <w:left w:val="nil"/>
              <w:bottom w:val="single" w:sz="4" w:space="0" w:color="auto"/>
              <w:right w:val="single" w:sz="4" w:space="0" w:color="auto"/>
            </w:tcBorders>
            <w:shd w:val="clear" w:color="000000" w:fill="75923C"/>
            <w:noWrap/>
            <w:vAlign w:val="bottom"/>
          </w:tcPr>
          <w:p w:rsidR="00CE00AD" w:rsidRPr="00CE00AD" w:rsidRDefault="00CE00AD" w:rsidP="00CE00AD">
            <w:pPr>
              <w:widowControl/>
              <w:adjustRightInd/>
              <w:spacing w:line="240" w:lineRule="auto"/>
              <w:jc w:val="left"/>
              <w:textAlignment w:val="auto"/>
              <w:rPr>
                <w:color w:val="000000"/>
                <w:szCs w:val="20"/>
              </w:rPr>
            </w:pPr>
            <w:r w:rsidRPr="00CE00AD">
              <w:rPr>
                <w:color w:val="000000"/>
                <w:szCs w:val="20"/>
              </w:rPr>
              <w:t> </w:t>
            </w:r>
          </w:p>
        </w:tc>
        <w:tc>
          <w:tcPr>
            <w:tcW w:w="780" w:type="dxa"/>
            <w:tcBorders>
              <w:top w:val="nil"/>
              <w:left w:val="nil"/>
              <w:bottom w:val="single" w:sz="4" w:space="0" w:color="auto"/>
              <w:right w:val="single" w:sz="4" w:space="0" w:color="auto"/>
            </w:tcBorders>
            <w:shd w:val="clear" w:color="000000" w:fill="75923C"/>
            <w:noWrap/>
            <w:vAlign w:val="bottom"/>
          </w:tcPr>
          <w:p w:rsidR="00CE00AD" w:rsidRPr="007B4672" w:rsidRDefault="00CE00AD" w:rsidP="00CE00AD">
            <w:pPr>
              <w:widowControl/>
              <w:adjustRightInd/>
              <w:spacing w:line="240" w:lineRule="auto"/>
              <w:jc w:val="left"/>
              <w:textAlignment w:val="auto"/>
              <w:rPr>
                <w:bCs/>
                <w:color w:val="000000"/>
                <w:szCs w:val="20"/>
              </w:rPr>
            </w:pPr>
            <w:r w:rsidRPr="007B4672">
              <w:rPr>
                <w:bCs/>
                <w:color w:val="000000"/>
                <w:szCs w:val="20"/>
              </w:rPr>
              <w:t>60</w:t>
            </w:r>
          </w:p>
        </w:tc>
        <w:tc>
          <w:tcPr>
            <w:tcW w:w="1740" w:type="dxa"/>
            <w:tcBorders>
              <w:top w:val="nil"/>
              <w:left w:val="nil"/>
              <w:bottom w:val="single" w:sz="4" w:space="0" w:color="auto"/>
              <w:right w:val="single" w:sz="4" w:space="0" w:color="auto"/>
            </w:tcBorders>
            <w:shd w:val="clear" w:color="000000" w:fill="75923C"/>
            <w:noWrap/>
            <w:vAlign w:val="bottom"/>
          </w:tcPr>
          <w:p w:rsidR="00CE00AD" w:rsidRPr="00CE00AD" w:rsidRDefault="00CE00AD" w:rsidP="00CE00AD">
            <w:pPr>
              <w:widowControl/>
              <w:adjustRightInd/>
              <w:spacing w:line="240" w:lineRule="auto"/>
              <w:jc w:val="left"/>
              <w:textAlignment w:val="auto"/>
              <w:rPr>
                <w:color w:val="000000"/>
                <w:szCs w:val="20"/>
              </w:rPr>
            </w:pPr>
            <w:r w:rsidRPr="00CE00AD">
              <w:rPr>
                <w:color w:val="000000"/>
                <w:szCs w:val="20"/>
              </w:rPr>
              <w:t>do 1. RH 90%</w:t>
            </w:r>
          </w:p>
        </w:tc>
      </w:tr>
      <w:tr w:rsidR="00CE00AD" w:rsidRPr="00CE00AD">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tcPr>
          <w:p w:rsidR="00CE00AD" w:rsidRPr="00CE00AD" w:rsidRDefault="00CE00AD" w:rsidP="00CE00AD">
            <w:pPr>
              <w:widowControl/>
              <w:adjustRightInd/>
              <w:spacing w:line="240" w:lineRule="auto"/>
              <w:jc w:val="left"/>
              <w:textAlignment w:val="auto"/>
              <w:rPr>
                <w:b/>
                <w:bCs/>
                <w:color w:val="000000"/>
                <w:szCs w:val="20"/>
              </w:rPr>
            </w:pPr>
            <w:r w:rsidRPr="00CE00AD">
              <w:rPr>
                <w:b/>
                <w:bCs/>
                <w:color w:val="000000"/>
                <w:szCs w:val="20"/>
              </w:rPr>
              <w:t>Ošetřovné</w:t>
            </w:r>
          </w:p>
        </w:tc>
        <w:tc>
          <w:tcPr>
            <w:tcW w:w="1180" w:type="dxa"/>
            <w:tcBorders>
              <w:top w:val="nil"/>
              <w:left w:val="nil"/>
              <w:bottom w:val="single" w:sz="4" w:space="0" w:color="auto"/>
              <w:right w:val="single" w:sz="4" w:space="0" w:color="auto"/>
            </w:tcBorders>
            <w:shd w:val="clear" w:color="000000" w:fill="FF0000"/>
            <w:noWrap/>
            <w:vAlign w:val="bottom"/>
          </w:tcPr>
          <w:p w:rsidR="00CE00AD" w:rsidRPr="00CE00AD" w:rsidRDefault="00CE00AD" w:rsidP="00CE00AD">
            <w:pPr>
              <w:widowControl/>
              <w:adjustRightInd/>
              <w:spacing w:line="240" w:lineRule="auto"/>
              <w:jc w:val="left"/>
              <w:textAlignment w:val="auto"/>
              <w:rPr>
                <w:color w:val="000000"/>
                <w:szCs w:val="20"/>
              </w:rPr>
            </w:pPr>
            <w:r w:rsidRPr="00CE00AD">
              <w:rPr>
                <w:color w:val="000000"/>
                <w:szCs w:val="20"/>
              </w:rPr>
              <w:t>1. dne</w:t>
            </w:r>
          </w:p>
        </w:tc>
        <w:tc>
          <w:tcPr>
            <w:tcW w:w="560" w:type="dxa"/>
            <w:tcBorders>
              <w:top w:val="nil"/>
              <w:left w:val="nil"/>
              <w:bottom w:val="single" w:sz="4" w:space="0" w:color="auto"/>
              <w:right w:val="single" w:sz="4" w:space="0" w:color="auto"/>
            </w:tcBorders>
            <w:shd w:val="clear" w:color="000000" w:fill="FF0000"/>
            <w:noWrap/>
            <w:vAlign w:val="bottom"/>
          </w:tcPr>
          <w:p w:rsidR="00CE00AD" w:rsidRPr="00CE00AD" w:rsidRDefault="00CE00AD" w:rsidP="00CE00AD">
            <w:pPr>
              <w:widowControl/>
              <w:adjustRightInd/>
              <w:spacing w:line="240" w:lineRule="auto"/>
              <w:jc w:val="left"/>
              <w:textAlignment w:val="auto"/>
              <w:rPr>
                <w:color w:val="000000"/>
                <w:szCs w:val="20"/>
              </w:rPr>
            </w:pPr>
            <w:r w:rsidRPr="00CE00AD">
              <w:rPr>
                <w:color w:val="000000"/>
                <w:szCs w:val="20"/>
              </w:rPr>
              <w:t>9/16</w:t>
            </w:r>
          </w:p>
        </w:tc>
        <w:tc>
          <w:tcPr>
            <w:tcW w:w="980" w:type="dxa"/>
            <w:tcBorders>
              <w:top w:val="nil"/>
              <w:left w:val="nil"/>
              <w:bottom w:val="single" w:sz="4" w:space="0" w:color="auto"/>
              <w:right w:val="single" w:sz="4" w:space="0" w:color="auto"/>
            </w:tcBorders>
            <w:shd w:val="clear" w:color="000000" w:fill="FF0000"/>
            <w:noWrap/>
            <w:vAlign w:val="bottom"/>
          </w:tcPr>
          <w:p w:rsidR="00CE00AD" w:rsidRPr="00CE00AD" w:rsidRDefault="00CE00AD" w:rsidP="00CE00AD">
            <w:pPr>
              <w:widowControl/>
              <w:adjustRightInd/>
              <w:spacing w:line="240" w:lineRule="auto"/>
              <w:jc w:val="left"/>
              <w:textAlignment w:val="auto"/>
              <w:rPr>
                <w:color w:val="000000"/>
                <w:szCs w:val="20"/>
              </w:rPr>
            </w:pPr>
            <w:r w:rsidRPr="00CE00AD">
              <w:rPr>
                <w:color w:val="000000"/>
                <w:szCs w:val="20"/>
              </w:rPr>
              <w:t>60</w:t>
            </w:r>
          </w:p>
        </w:tc>
        <w:tc>
          <w:tcPr>
            <w:tcW w:w="1740" w:type="dxa"/>
            <w:tcBorders>
              <w:top w:val="nil"/>
              <w:left w:val="nil"/>
              <w:bottom w:val="single" w:sz="4" w:space="0" w:color="auto"/>
              <w:right w:val="single" w:sz="4" w:space="0" w:color="auto"/>
            </w:tcBorders>
            <w:shd w:val="clear" w:color="000000" w:fill="FF0000"/>
            <w:noWrap/>
            <w:vAlign w:val="bottom"/>
          </w:tcPr>
          <w:p w:rsidR="00CE00AD" w:rsidRPr="00CE00AD" w:rsidRDefault="00CE00AD" w:rsidP="00CE00AD">
            <w:pPr>
              <w:widowControl/>
              <w:adjustRightInd/>
              <w:spacing w:line="240" w:lineRule="auto"/>
              <w:jc w:val="left"/>
              <w:textAlignment w:val="auto"/>
              <w:rPr>
                <w:color w:val="000000"/>
                <w:szCs w:val="20"/>
              </w:rPr>
            </w:pPr>
            <w:r w:rsidRPr="00CE00AD">
              <w:rPr>
                <w:color w:val="000000"/>
                <w:szCs w:val="20"/>
              </w:rPr>
              <w:t>do 1. RH 90%</w:t>
            </w:r>
          </w:p>
        </w:tc>
        <w:tc>
          <w:tcPr>
            <w:tcW w:w="1180" w:type="dxa"/>
            <w:tcBorders>
              <w:top w:val="nil"/>
              <w:left w:val="nil"/>
              <w:bottom w:val="single" w:sz="4" w:space="0" w:color="auto"/>
              <w:right w:val="single" w:sz="4" w:space="0" w:color="auto"/>
            </w:tcBorders>
            <w:shd w:val="clear" w:color="000000" w:fill="75923C"/>
            <w:noWrap/>
            <w:vAlign w:val="bottom"/>
          </w:tcPr>
          <w:p w:rsidR="00CE00AD" w:rsidRPr="007B4672" w:rsidRDefault="007B4672" w:rsidP="00CE00AD">
            <w:pPr>
              <w:widowControl/>
              <w:adjustRightInd/>
              <w:spacing w:line="240" w:lineRule="auto"/>
              <w:jc w:val="left"/>
              <w:textAlignment w:val="auto"/>
              <w:rPr>
                <w:bCs/>
                <w:color w:val="000000"/>
                <w:szCs w:val="20"/>
              </w:rPr>
            </w:pPr>
            <w:r w:rsidRPr="007B4672">
              <w:rPr>
                <w:bCs/>
                <w:color w:val="000000"/>
                <w:szCs w:val="20"/>
              </w:rPr>
              <w:t>1</w:t>
            </w:r>
            <w:r w:rsidR="00CE00AD" w:rsidRPr="007B4672">
              <w:rPr>
                <w:bCs/>
                <w:color w:val="000000"/>
                <w:szCs w:val="20"/>
              </w:rPr>
              <w:t>.dne</w:t>
            </w:r>
          </w:p>
        </w:tc>
        <w:tc>
          <w:tcPr>
            <w:tcW w:w="560" w:type="dxa"/>
            <w:tcBorders>
              <w:top w:val="nil"/>
              <w:left w:val="nil"/>
              <w:bottom w:val="single" w:sz="4" w:space="0" w:color="auto"/>
              <w:right w:val="single" w:sz="4" w:space="0" w:color="auto"/>
            </w:tcBorders>
            <w:shd w:val="clear" w:color="000000" w:fill="75923C"/>
            <w:noWrap/>
            <w:vAlign w:val="bottom"/>
          </w:tcPr>
          <w:p w:rsidR="00CE00AD" w:rsidRPr="00CE00AD" w:rsidRDefault="00A6460D" w:rsidP="00CE00AD">
            <w:pPr>
              <w:widowControl/>
              <w:adjustRightInd/>
              <w:spacing w:line="240" w:lineRule="auto"/>
              <w:jc w:val="left"/>
              <w:textAlignment w:val="auto"/>
              <w:rPr>
                <w:color w:val="000000"/>
                <w:szCs w:val="20"/>
              </w:rPr>
            </w:pPr>
            <w:r>
              <w:rPr>
                <w:color w:val="000000"/>
                <w:szCs w:val="20"/>
              </w:rPr>
              <w:t>9/16</w:t>
            </w:r>
          </w:p>
        </w:tc>
        <w:tc>
          <w:tcPr>
            <w:tcW w:w="780" w:type="dxa"/>
            <w:tcBorders>
              <w:top w:val="nil"/>
              <w:left w:val="nil"/>
              <w:bottom w:val="single" w:sz="4" w:space="0" w:color="auto"/>
              <w:right w:val="single" w:sz="4" w:space="0" w:color="auto"/>
            </w:tcBorders>
            <w:shd w:val="clear" w:color="000000" w:fill="75923C"/>
            <w:noWrap/>
            <w:vAlign w:val="bottom"/>
          </w:tcPr>
          <w:p w:rsidR="00CE00AD" w:rsidRPr="00CE00AD" w:rsidRDefault="00CE00AD" w:rsidP="00CE00AD">
            <w:pPr>
              <w:widowControl/>
              <w:adjustRightInd/>
              <w:spacing w:line="240" w:lineRule="auto"/>
              <w:jc w:val="left"/>
              <w:textAlignment w:val="auto"/>
              <w:rPr>
                <w:color w:val="000000"/>
                <w:szCs w:val="20"/>
              </w:rPr>
            </w:pPr>
            <w:r w:rsidRPr="00CE00AD">
              <w:rPr>
                <w:color w:val="000000"/>
                <w:szCs w:val="20"/>
              </w:rPr>
              <w:t>60</w:t>
            </w:r>
          </w:p>
        </w:tc>
        <w:tc>
          <w:tcPr>
            <w:tcW w:w="1740" w:type="dxa"/>
            <w:tcBorders>
              <w:top w:val="nil"/>
              <w:left w:val="nil"/>
              <w:bottom w:val="single" w:sz="4" w:space="0" w:color="auto"/>
              <w:right w:val="single" w:sz="4" w:space="0" w:color="auto"/>
            </w:tcBorders>
            <w:shd w:val="clear" w:color="000000" w:fill="75923C"/>
            <w:noWrap/>
            <w:vAlign w:val="bottom"/>
          </w:tcPr>
          <w:p w:rsidR="00CE00AD" w:rsidRPr="00CE00AD" w:rsidRDefault="00CE00AD" w:rsidP="00CE00AD">
            <w:pPr>
              <w:widowControl/>
              <w:adjustRightInd/>
              <w:spacing w:line="240" w:lineRule="auto"/>
              <w:jc w:val="left"/>
              <w:textAlignment w:val="auto"/>
              <w:rPr>
                <w:color w:val="000000"/>
                <w:szCs w:val="20"/>
              </w:rPr>
            </w:pPr>
            <w:r w:rsidRPr="00CE00AD">
              <w:rPr>
                <w:color w:val="000000"/>
                <w:szCs w:val="20"/>
              </w:rPr>
              <w:t>do 1. RH 90%</w:t>
            </w:r>
          </w:p>
        </w:tc>
      </w:tr>
      <w:tr w:rsidR="00CE00AD" w:rsidRPr="00CE00AD">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tcPr>
          <w:p w:rsidR="00CE00AD" w:rsidRPr="00CE00AD" w:rsidRDefault="00CE00AD" w:rsidP="00CE00AD">
            <w:pPr>
              <w:widowControl/>
              <w:adjustRightInd/>
              <w:spacing w:line="240" w:lineRule="auto"/>
              <w:jc w:val="left"/>
              <w:textAlignment w:val="auto"/>
              <w:rPr>
                <w:b/>
                <w:bCs/>
                <w:color w:val="000000"/>
                <w:szCs w:val="20"/>
              </w:rPr>
            </w:pPr>
            <w:r w:rsidRPr="00CE00AD">
              <w:rPr>
                <w:b/>
                <w:bCs/>
                <w:color w:val="000000"/>
                <w:szCs w:val="20"/>
              </w:rPr>
              <w:t>Mateřská</w:t>
            </w:r>
          </w:p>
        </w:tc>
        <w:tc>
          <w:tcPr>
            <w:tcW w:w="1180" w:type="dxa"/>
            <w:tcBorders>
              <w:top w:val="nil"/>
              <w:left w:val="nil"/>
              <w:bottom w:val="single" w:sz="4" w:space="0" w:color="auto"/>
              <w:right w:val="single" w:sz="4" w:space="0" w:color="auto"/>
            </w:tcBorders>
            <w:shd w:val="clear" w:color="000000" w:fill="FF0000"/>
            <w:noWrap/>
            <w:vAlign w:val="bottom"/>
          </w:tcPr>
          <w:p w:rsidR="00CE00AD" w:rsidRPr="00CE00AD" w:rsidRDefault="00CE00AD" w:rsidP="00CE00AD">
            <w:pPr>
              <w:widowControl/>
              <w:adjustRightInd/>
              <w:spacing w:line="240" w:lineRule="auto"/>
              <w:jc w:val="left"/>
              <w:textAlignment w:val="auto"/>
              <w:rPr>
                <w:color w:val="000000"/>
                <w:szCs w:val="20"/>
              </w:rPr>
            </w:pPr>
            <w:r w:rsidRPr="00CE00AD">
              <w:rPr>
                <w:color w:val="000000"/>
                <w:szCs w:val="20"/>
              </w:rPr>
              <w:t>1.dne</w:t>
            </w:r>
          </w:p>
        </w:tc>
        <w:tc>
          <w:tcPr>
            <w:tcW w:w="560" w:type="dxa"/>
            <w:tcBorders>
              <w:top w:val="nil"/>
              <w:left w:val="nil"/>
              <w:bottom w:val="single" w:sz="4" w:space="0" w:color="auto"/>
              <w:right w:val="single" w:sz="4" w:space="0" w:color="auto"/>
            </w:tcBorders>
            <w:shd w:val="clear" w:color="000000" w:fill="FF0000"/>
            <w:noWrap/>
            <w:vAlign w:val="bottom"/>
          </w:tcPr>
          <w:p w:rsidR="00CE00AD" w:rsidRPr="00CE00AD" w:rsidRDefault="00CE00AD" w:rsidP="00CE00AD">
            <w:pPr>
              <w:widowControl/>
              <w:adjustRightInd/>
              <w:spacing w:line="240" w:lineRule="auto"/>
              <w:jc w:val="left"/>
              <w:textAlignment w:val="auto"/>
              <w:rPr>
                <w:color w:val="000000"/>
                <w:szCs w:val="20"/>
              </w:rPr>
            </w:pPr>
            <w:r w:rsidRPr="00CE00AD">
              <w:rPr>
                <w:color w:val="000000"/>
                <w:szCs w:val="20"/>
              </w:rPr>
              <w:t>196</w:t>
            </w:r>
          </w:p>
        </w:tc>
        <w:tc>
          <w:tcPr>
            <w:tcW w:w="980" w:type="dxa"/>
            <w:tcBorders>
              <w:top w:val="nil"/>
              <w:left w:val="nil"/>
              <w:bottom w:val="single" w:sz="4" w:space="0" w:color="auto"/>
              <w:right w:val="single" w:sz="4" w:space="0" w:color="auto"/>
            </w:tcBorders>
            <w:shd w:val="clear" w:color="000000" w:fill="FF0000"/>
            <w:noWrap/>
            <w:vAlign w:val="bottom"/>
          </w:tcPr>
          <w:p w:rsidR="00CE00AD" w:rsidRPr="00CE00AD" w:rsidRDefault="006A4953" w:rsidP="00CE00AD">
            <w:pPr>
              <w:widowControl/>
              <w:adjustRightInd/>
              <w:spacing w:line="240" w:lineRule="auto"/>
              <w:jc w:val="left"/>
              <w:textAlignment w:val="auto"/>
              <w:rPr>
                <w:color w:val="000000"/>
                <w:szCs w:val="20"/>
              </w:rPr>
            </w:pPr>
            <w:r>
              <w:rPr>
                <w:color w:val="000000"/>
                <w:szCs w:val="20"/>
              </w:rPr>
              <w:t>7</w:t>
            </w:r>
            <w:r w:rsidR="00CE00AD" w:rsidRPr="00CE00AD">
              <w:rPr>
                <w:color w:val="000000"/>
                <w:szCs w:val="20"/>
              </w:rPr>
              <w:t>0</w:t>
            </w:r>
          </w:p>
        </w:tc>
        <w:tc>
          <w:tcPr>
            <w:tcW w:w="1740" w:type="dxa"/>
            <w:tcBorders>
              <w:top w:val="nil"/>
              <w:left w:val="nil"/>
              <w:bottom w:val="single" w:sz="4" w:space="0" w:color="auto"/>
              <w:right w:val="single" w:sz="4" w:space="0" w:color="auto"/>
            </w:tcBorders>
            <w:shd w:val="clear" w:color="000000" w:fill="FF0000"/>
            <w:noWrap/>
            <w:vAlign w:val="bottom"/>
          </w:tcPr>
          <w:p w:rsidR="00CE00AD" w:rsidRPr="00CE00AD" w:rsidRDefault="00CE00AD" w:rsidP="007B4672">
            <w:pPr>
              <w:widowControl/>
              <w:adjustRightInd/>
              <w:spacing w:line="240" w:lineRule="auto"/>
              <w:jc w:val="left"/>
              <w:textAlignment w:val="auto"/>
              <w:rPr>
                <w:color w:val="000000"/>
                <w:szCs w:val="20"/>
              </w:rPr>
            </w:pPr>
            <w:r w:rsidRPr="00CE00AD">
              <w:rPr>
                <w:color w:val="000000"/>
                <w:szCs w:val="20"/>
              </w:rPr>
              <w:t xml:space="preserve">do 1. RH </w:t>
            </w:r>
            <w:r w:rsidR="006A4953">
              <w:rPr>
                <w:color w:val="000000"/>
                <w:szCs w:val="20"/>
              </w:rPr>
              <w:t>10</w:t>
            </w:r>
            <w:r w:rsidR="007B4672">
              <w:rPr>
                <w:color w:val="000000"/>
                <w:szCs w:val="20"/>
              </w:rPr>
              <w:t>0</w:t>
            </w:r>
            <w:r w:rsidRPr="00CE00AD">
              <w:rPr>
                <w:color w:val="000000"/>
                <w:szCs w:val="20"/>
              </w:rPr>
              <w:t>%</w:t>
            </w:r>
          </w:p>
        </w:tc>
        <w:tc>
          <w:tcPr>
            <w:tcW w:w="1180" w:type="dxa"/>
            <w:tcBorders>
              <w:top w:val="nil"/>
              <w:left w:val="nil"/>
              <w:bottom w:val="single" w:sz="4" w:space="0" w:color="auto"/>
              <w:right w:val="single" w:sz="4" w:space="0" w:color="auto"/>
            </w:tcBorders>
            <w:shd w:val="clear" w:color="000000" w:fill="75923C"/>
            <w:noWrap/>
            <w:vAlign w:val="bottom"/>
          </w:tcPr>
          <w:p w:rsidR="00CE00AD" w:rsidRPr="00CE00AD" w:rsidRDefault="00CE00AD" w:rsidP="00CE00AD">
            <w:pPr>
              <w:widowControl/>
              <w:adjustRightInd/>
              <w:spacing w:line="240" w:lineRule="auto"/>
              <w:jc w:val="left"/>
              <w:textAlignment w:val="auto"/>
              <w:rPr>
                <w:color w:val="000000"/>
                <w:szCs w:val="20"/>
              </w:rPr>
            </w:pPr>
            <w:r w:rsidRPr="00CE00AD">
              <w:rPr>
                <w:color w:val="000000"/>
                <w:szCs w:val="20"/>
              </w:rPr>
              <w:t>1. dne</w:t>
            </w:r>
          </w:p>
        </w:tc>
        <w:tc>
          <w:tcPr>
            <w:tcW w:w="560" w:type="dxa"/>
            <w:tcBorders>
              <w:top w:val="nil"/>
              <w:left w:val="nil"/>
              <w:bottom w:val="single" w:sz="4" w:space="0" w:color="auto"/>
              <w:right w:val="single" w:sz="4" w:space="0" w:color="auto"/>
            </w:tcBorders>
            <w:shd w:val="clear" w:color="000000" w:fill="75923C"/>
            <w:noWrap/>
            <w:vAlign w:val="bottom"/>
          </w:tcPr>
          <w:p w:rsidR="00CE00AD" w:rsidRPr="00CE00AD" w:rsidRDefault="00CE00AD" w:rsidP="00CE00AD">
            <w:pPr>
              <w:widowControl/>
              <w:adjustRightInd/>
              <w:spacing w:line="240" w:lineRule="auto"/>
              <w:jc w:val="left"/>
              <w:textAlignment w:val="auto"/>
              <w:rPr>
                <w:color w:val="000000"/>
                <w:szCs w:val="20"/>
              </w:rPr>
            </w:pPr>
            <w:r w:rsidRPr="00CE00AD">
              <w:rPr>
                <w:color w:val="000000"/>
                <w:szCs w:val="20"/>
              </w:rPr>
              <w:t>196</w:t>
            </w:r>
          </w:p>
        </w:tc>
        <w:tc>
          <w:tcPr>
            <w:tcW w:w="780" w:type="dxa"/>
            <w:tcBorders>
              <w:top w:val="nil"/>
              <w:left w:val="nil"/>
              <w:bottom w:val="single" w:sz="4" w:space="0" w:color="auto"/>
              <w:right w:val="single" w:sz="4" w:space="0" w:color="auto"/>
            </w:tcBorders>
            <w:shd w:val="clear" w:color="000000" w:fill="75923C"/>
            <w:noWrap/>
            <w:vAlign w:val="bottom"/>
          </w:tcPr>
          <w:p w:rsidR="00CE00AD" w:rsidRPr="008562A2" w:rsidRDefault="00760B9B" w:rsidP="00CE00AD">
            <w:pPr>
              <w:widowControl/>
              <w:adjustRightInd/>
              <w:spacing w:line="240" w:lineRule="auto"/>
              <w:jc w:val="left"/>
              <w:textAlignment w:val="auto"/>
              <w:rPr>
                <w:bCs/>
                <w:color w:val="000000"/>
                <w:szCs w:val="20"/>
              </w:rPr>
            </w:pPr>
            <w:r w:rsidRPr="008562A2">
              <w:rPr>
                <w:bCs/>
                <w:color w:val="000000"/>
                <w:szCs w:val="20"/>
              </w:rPr>
              <w:t>70</w:t>
            </w:r>
          </w:p>
        </w:tc>
        <w:tc>
          <w:tcPr>
            <w:tcW w:w="1740" w:type="dxa"/>
            <w:tcBorders>
              <w:top w:val="nil"/>
              <w:left w:val="nil"/>
              <w:bottom w:val="single" w:sz="4" w:space="0" w:color="auto"/>
              <w:right w:val="single" w:sz="4" w:space="0" w:color="auto"/>
            </w:tcBorders>
            <w:shd w:val="clear" w:color="000000" w:fill="75923C"/>
            <w:noWrap/>
            <w:vAlign w:val="bottom"/>
          </w:tcPr>
          <w:p w:rsidR="00CE00AD" w:rsidRPr="007B4672" w:rsidRDefault="00CE00AD" w:rsidP="00020A50">
            <w:pPr>
              <w:widowControl/>
              <w:adjustRightInd/>
              <w:spacing w:line="240" w:lineRule="auto"/>
              <w:jc w:val="left"/>
              <w:textAlignment w:val="auto"/>
              <w:rPr>
                <w:bCs/>
                <w:color w:val="000000"/>
                <w:szCs w:val="20"/>
              </w:rPr>
            </w:pPr>
            <w:r w:rsidRPr="007B4672">
              <w:rPr>
                <w:bCs/>
                <w:color w:val="000000"/>
                <w:szCs w:val="20"/>
              </w:rPr>
              <w:t xml:space="preserve">do 1.RH </w:t>
            </w:r>
            <w:r w:rsidR="00020A50" w:rsidRPr="008562A2">
              <w:rPr>
                <w:bCs/>
                <w:color w:val="000000"/>
                <w:szCs w:val="20"/>
              </w:rPr>
              <w:t>100</w:t>
            </w:r>
            <w:r w:rsidRPr="008562A2">
              <w:rPr>
                <w:bCs/>
                <w:color w:val="000000"/>
                <w:szCs w:val="20"/>
              </w:rPr>
              <w:t xml:space="preserve"> %</w:t>
            </w:r>
          </w:p>
        </w:tc>
      </w:tr>
    </w:tbl>
    <w:p w:rsidR="004D0856" w:rsidRDefault="004D0856" w:rsidP="00DF7CEF">
      <w:pPr>
        <w:rPr>
          <w:rStyle w:val="PromnnHTML"/>
        </w:rPr>
      </w:pPr>
    </w:p>
    <w:p w:rsidR="00927546" w:rsidRDefault="00927546" w:rsidP="00927546">
      <w:pPr>
        <w:rPr>
          <w:rStyle w:val="PromnnHTML"/>
          <w:b/>
        </w:rPr>
      </w:pPr>
      <w:r w:rsidRPr="00927546">
        <w:rPr>
          <w:rStyle w:val="PromnnHTML"/>
        </w:rPr>
        <w:t xml:space="preserve">Zvyšují se redukční hranice pro výpočet nemocenských dávek </w:t>
      </w:r>
      <w:r w:rsidR="00F34468" w:rsidRPr="0051015D">
        <w:rPr>
          <w:rStyle w:val="PromnnHTML"/>
          <w:b/>
        </w:rPr>
        <w:t xml:space="preserve">a v důsledku toho i </w:t>
      </w:r>
      <w:r w:rsidR="00EE4EE8" w:rsidRPr="0051015D">
        <w:rPr>
          <w:rStyle w:val="PromnnHTML"/>
          <w:b/>
        </w:rPr>
        <w:t>pro náhradu mzdy po dobu pracovní neschopnosti.</w:t>
      </w:r>
    </w:p>
    <w:p w:rsidR="007E3DE3" w:rsidRPr="0051015D" w:rsidRDefault="007E3DE3" w:rsidP="00927546">
      <w:pPr>
        <w:rPr>
          <w:rStyle w:val="PromnnHTML"/>
          <w:b/>
        </w:rPr>
      </w:pPr>
    </w:p>
    <w:p w:rsidR="00D24BB0" w:rsidRDefault="008562A2" w:rsidP="006A3993">
      <w:pPr>
        <w:pStyle w:val="Nadpis2"/>
        <w:rPr>
          <w:rStyle w:val="PromnnHTML"/>
        </w:rPr>
      </w:pPr>
      <w:bookmarkStart w:id="36" w:name="_Toc376422248"/>
      <w:r>
        <w:rPr>
          <w:rStyle w:val="PromnnHTML"/>
        </w:rPr>
        <w:t>R</w:t>
      </w:r>
      <w:r w:rsidR="00F91115">
        <w:rPr>
          <w:rStyle w:val="PromnnHTML"/>
        </w:rPr>
        <w:t>edukční hranice pro nemocenské dávky</w:t>
      </w:r>
      <w:bookmarkEnd w:id="36"/>
    </w:p>
    <w:p w:rsidR="006C4F07" w:rsidRPr="006C4F07" w:rsidRDefault="006C4F07" w:rsidP="006C4F07"/>
    <w:tbl>
      <w:tblPr>
        <w:tblW w:w="8809"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2977"/>
        <w:gridCol w:w="1417"/>
      </w:tblGrid>
      <w:tr w:rsidR="00D922D6">
        <w:trPr>
          <w:trHeight w:val="567"/>
        </w:trPr>
        <w:tc>
          <w:tcPr>
            <w:tcW w:w="4415" w:type="dxa"/>
          </w:tcPr>
          <w:p w:rsidR="00D922D6" w:rsidRPr="00BE0035" w:rsidRDefault="00D922D6" w:rsidP="00566BC5">
            <w:pPr>
              <w:tabs>
                <w:tab w:val="right" w:pos="3890"/>
              </w:tabs>
              <w:rPr>
                <w:rStyle w:val="PromnnHTML"/>
                <w:b/>
              </w:rPr>
            </w:pPr>
            <w:r w:rsidRPr="00BE0035">
              <w:rPr>
                <w:rStyle w:val="PromnnHTML"/>
                <w:b/>
              </w:rPr>
              <w:t>Typ dávky</w:t>
            </w:r>
          </w:p>
        </w:tc>
        <w:tc>
          <w:tcPr>
            <w:tcW w:w="2977" w:type="dxa"/>
          </w:tcPr>
          <w:p w:rsidR="00D922D6" w:rsidRPr="00BE0035" w:rsidRDefault="00D922D6" w:rsidP="00566BC5">
            <w:pPr>
              <w:tabs>
                <w:tab w:val="right" w:pos="3890"/>
              </w:tabs>
              <w:rPr>
                <w:rStyle w:val="PromnnHTML"/>
                <w:b/>
              </w:rPr>
            </w:pPr>
            <w:r w:rsidRPr="00BE0035">
              <w:rPr>
                <w:rStyle w:val="PromnnHTML"/>
                <w:b/>
              </w:rPr>
              <w:t>Redukční hranice</w:t>
            </w:r>
            <w:r w:rsidRPr="00BE0035">
              <w:rPr>
                <w:rStyle w:val="PromnnHTML"/>
                <w:b/>
              </w:rPr>
              <w:tab/>
            </w:r>
          </w:p>
        </w:tc>
        <w:tc>
          <w:tcPr>
            <w:tcW w:w="1417" w:type="dxa"/>
          </w:tcPr>
          <w:p w:rsidR="00D922D6" w:rsidRPr="00BE0035" w:rsidRDefault="00D922D6" w:rsidP="00566BC5">
            <w:pPr>
              <w:rPr>
                <w:rStyle w:val="PromnnHTML"/>
                <w:b/>
              </w:rPr>
            </w:pPr>
            <w:r w:rsidRPr="00BE0035">
              <w:rPr>
                <w:rStyle w:val="PromnnHTML"/>
                <w:b/>
              </w:rPr>
              <w:t>Procento</w:t>
            </w:r>
          </w:p>
        </w:tc>
      </w:tr>
      <w:tr w:rsidR="00D922D6" w:rsidRPr="00361C5D" w:rsidTr="00361C5D">
        <w:trPr>
          <w:trHeight w:val="579"/>
        </w:trPr>
        <w:tc>
          <w:tcPr>
            <w:tcW w:w="4415" w:type="dxa"/>
          </w:tcPr>
          <w:p w:rsidR="00D922D6" w:rsidRPr="00D572C4" w:rsidRDefault="00D922D6" w:rsidP="00361C5D">
            <w:pPr>
              <w:tabs>
                <w:tab w:val="right" w:pos="3890"/>
              </w:tabs>
              <w:rPr>
                <w:rStyle w:val="PromnnHTML"/>
              </w:rPr>
            </w:pPr>
            <w:r w:rsidRPr="00D572C4">
              <w:rPr>
                <w:rStyle w:val="PromnnHTML"/>
              </w:rPr>
              <w:t>Nemocenské, ošetřovné</w:t>
            </w:r>
            <w:r>
              <w:rPr>
                <w:rStyle w:val="PromnnHTML"/>
              </w:rPr>
              <w:t>, mateřská</w:t>
            </w:r>
          </w:p>
        </w:tc>
        <w:tc>
          <w:tcPr>
            <w:tcW w:w="2977" w:type="dxa"/>
          </w:tcPr>
          <w:p w:rsidR="00D922D6" w:rsidRPr="00D572C4" w:rsidRDefault="00D922D6" w:rsidP="00361C5D">
            <w:pPr>
              <w:tabs>
                <w:tab w:val="right" w:pos="3890"/>
              </w:tabs>
              <w:rPr>
                <w:rStyle w:val="PromnnHTML"/>
              </w:rPr>
            </w:pPr>
            <w:r w:rsidRPr="00D572C4">
              <w:rPr>
                <w:rStyle w:val="PromnnHTML"/>
              </w:rPr>
              <w:t xml:space="preserve">Do </w:t>
            </w:r>
            <w:r w:rsidR="00361C5D" w:rsidRPr="00361C5D">
              <w:rPr>
                <w:rStyle w:val="PromnnHTML"/>
                <w:b/>
              </w:rPr>
              <w:t>865</w:t>
            </w:r>
            <w:r w:rsidRPr="00D572C4">
              <w:rPr>
                <w:rStyle w:val="PromnnHTML"/>
              </w:rPr>
              <w:t xml:space="preserve"> Kč</w:t>
            </w:r>
          </w:p>
        </w:tc>
        <w:tc>
          <w:tcPr>
            <w:tcW w:w="1417" w:type="dxa"/>
          </w:tcPr>
          <w:p w:rsidR="00D922D6" w:rsidRPr="00D572C4" w:rsidRDefault="00D922D6" w:rsidP="007B4672">
            <w:pPr>
              <w:tabs>
                <w:tab w:val="right" w:pos="3890"/>
              </w:tabs>
              <w:rPr>
                <w:rStyle w:val="PromnnHTML"/>
              </w:rPr>
            </w:pPr>
            <w:r w:rsidRPr="00D572C4">
              <w:rPr>
                <w:rStyle w:val="PromnnHTML"/>
              </w:rPr>
              <w:t>90 %</w:t>
            </w:r>
          </w:p>
        </w:tc>
      </w:tr>
      <w:tr w:rsidR="00D922D6">
        <w:trPr>
          <w:trHeight w:val="567"/>
        </w:trPr>
        <w:tc>
          <w:tcPr>
            <w:tcW w:w="4415" w:type="dxa"/>
          </w:tcPr>
          <w:p w:rsidR="00D922D6" w:rsidRPr="00D572C4" w:rsidRDefault="00D922D6" w:rsidP="00566BC5">
            <w:pPr>
              <w:tabs>
                <w:tab w:val="right" w:pos="3890"/>
              </w:tabs>
              <w:rPr>
                <w:rStyle w:val="PromnnHTML"/>
              </w:rPr>
            </w:pPr>
            <w:r w:rsidRPr="00D572C4">
              <w:rPr>
                <w:rStyle w:val="PromnnHTML"/>
              </w:rPr>
              <w:t>Nemocenské, ošetřovné</w:t>
            </w:r>
            <w:r>
              <w:rPr>
                <w:rStyle w:val="PromnnHTML"/>
              </w:rPr>
              <w:t>, mateřská</w:t>
            </w:r>
          </w:p>
        </w:tc>
        <w:tc>
          <w:tcPr>
            <w:tcW w:w="2977" w:type="dxa"/>
          </w:tcPr>
          <w:p w:rsidR="00D922D6" w:rsidRPr="00D572C4" w:rsidRDefault="00D922D6" w:rsidP="00361C5D">
            <w:pPr>
              <w:tabs>
                <w:tab w:val="right" w:pos="3890"/>
              </w:tabs>
              <w:rPr>
                <w:rStyle w:val="PromnnHTML"/>
              </w:rPr>
            </w:pPr>
            <w:r w:rsidRPr="00D572C4">
              <w:rPr>
                <w:rStyle w:val="PromnnHTML"/>
              </w:rPr>
              <w:t xml:space="preserve">Od </w:t>
            </w:r>
            <w:r w:rsidR="00361C5D">
              <w:rPr>
                <w:rStyle w:val="PromnnHTML"/>
                <w:b/>
              </w:rPr>
              <w:t>865</w:t>
            </w:r>
            <w:r w:rsidRPr="00D572C4">
              <w:rPr>
                <w:rStyle w:val="PromnnHTML"/>
              </w:rPr>
              <w:t xml:space="preserve"> Kč do </w:t>
            </w:r>
            <w:r w:rsidR="008562A2">
              <w:rPr>
                <w:rStyle w:val="PromnnHTML"/>
                <w:b/>
              </w:rPr>
              <w:t>1 29</w:t>
            </w:r>
            <w:r w:rsidR="00361C5D">
              <w:rPr>
                <w:rStyle w:val="PromnnHTML"/>
                <w:b/>
              </w:rPr>
              <w:t>8</w:t>
            </w:r>
            <w:r w:rsidRPr="00D572C4">
              <w:rPr>
                <w:rStyle w:val="PromnnHTML"/>
              </w:rPr>
              <w:t xml:space="preserve"> Kč</w:t>
            </w:r>
          </w:p>
        </w:tc>
        <w:tc>
          <w:tcPr>
            <w:tcW w:w="1417" w:type="dxa"/>
          </w:tcPr>
          <w:p w:rsidR="00D922D6" w:rsidRPr="00D572C4" w:rsidRDefault="00D922D6" w:rsidP="00566BC5">
            <w:pPr>
              <w:rPr>
                <w:rStyle w:val="PromnnHTML"/>
              </w:rPr>
            </w:pPr>
            <w:r w:rsidRPr="00D572C4">
              <w:rPr>
                <w:rStyle w:val="PromnnHTML"/>
              </w:rPr>
              <w:t>60 %</w:t>
            </w:r>
          </w:p>
        </w:tc>
      </w:tr>
      <w:tr w:rsidR="00D922D6">
        <w:trPr>
          <w:trHeight w:val="567"/>
        </w:trPr>
        <w:tc>
          <w:tcPr>
            <w:tcW w:w="4415" w:type="dxa"/>
          </w:tcPr>
          <w:p w:rsidR="00D922D6" w:rsidRPr="00D572C4" w:rsidRDefault="00D922D6" w:rsidP="00566BC5">
            <w:pPr>
              <w:tabs>
                <w:tab w:val="right" w:pos="3890"/>
              </w:tabs>
              <w:rPr>
                <w:rStyle w:val="PromnnHTML"/>
              </w:rPr>
            </w:pPr>
            <w:r w:rsidRPr="00D572C4">
              <w:rPr>
                <w:rStyle w:val="PromnnHTML"/>
              </w:rPr>
              <w:t>Nemocenské, ošetřovné</w:t>
            </w:r>
            <w:r>
              <w:rPr>
                <w:rStyle w:val="PromnnHTML"/>
              </w:rPr>
              <w:t>, mateřská</w:t>
            </w:r>
          </w:p>
        </w:tc>
        <w:tc>
          <w:tcPr>
            <w:tcW w:w="2977" w:type="dxa"/>
          </w:tcPr>
          <w:p w:rsidR="00D922D6" w:rsidRPr="00D572C4" w:rsidRDefault="00D922D6" w:rsidP="00361C5D">
            <w:pPr>
              <w:tabs>
                <w:tab w:val="right" w:pos="3890"/>
              </w:tabs>
              <w:rPr>
                <w:rStyle w:val="PromnnHTML"/>
              </w:rPr>
            </w:pPr>
            <w:r w:rsidRPr="00D572C4">
              <w:rPr>
                <w:rStyle w:val="PromnnHTML"/>
              </w:rPr>
              <w:t xml:space="preserve">Od </w:t>
            </w:r>
            <w:r>
              <w:rPr>
                <w:rStyle w:val="PromnnHTML"/>
                <w:b/>
              </w:rPr>
              <w:t>1 </w:t>
            </w:r>
            <w:r w:rsidR="00361C5D">
              <w:rPr>
                <w:rStyle w:val="PromnnHTML"/>
                <w:b/>
              </w:rPr>
              <w:t>298</w:t>
            </w:r>
            <w:r w:rsidRPr="00D572C4">
              <w:rPr>
                <w:rStyle w:val="PromnnHTML"/>
              </w:rPr>
              <w:t xml:space="preserve"> Kč do </w:t>
            </w:r>
            <w:r w:rsidRPr="00BE0035">
              <w:rPr>
                <w:rStyle w:val="PromnnHTML"/>
                <w:b/>
              </w:rPr>
              <w:t>2 </w:t>
            </w:r>
            <w:r w:rsidR="00724E48">
              <w:rPr>
                <w:rStyle w:val="PromnnHTML"/>
                <w:b/>
              </w:rPr>
              <w:t>5</w:t>
            </w:r>
            <w:r w:rsidR="00361C5D">
              <w:rPr>
                <w:rStyle w:val="PromnnHTML"/>
                <w:b/>
              </w:rPr>
              <w:t>95</w:t>
            </w:r>
            <w:r w:rsidRPr="00D572C4">
              <w:rPr>
                <w:rStyle w:val="PromnnHTML"/>
              </w:rPr>
              <w:t xml:space="preserve"> Kč</w:t>
            </w:r>
          </w:p>
        </w:tc>
        <w:tc>
          <w:tcPr>
            <w:tcW w:w="1417" w:type="dxa"/>
          </w:tcPr>
          <w:p w:rsidR="00D922D6" w:rsidRPr="00D572C4" w:rsidRDefault="00D922D6" w:rsidP="00566BC5">
            <w:pPr>
              <w:rPr>
                <w:rStyle w:val="PromnnHTML"/>
              </w:rPr>
            </w:pPr>
            <w:r w:rsidRPr="00D572C4">
              <w:rPr>
                <w:rStyle w:val="PromnnHTML"/>
              </w:rPr>
              <w:t>30 %</w:t>
            </w:r>
          </w:p>
        </w:tc>
      </w:tr>
    </w:tbl>
    <w:p w:rsidR="001D0BB8" w:rsidRDefault="001D0BB8" w:rsidP="001D0BB8">
      <w:pPr>
        <w:pStyle w:val="Nadpis2"/>
        <w:numPr>
          <w:ilvl w:val="0"/>
          <w:numId w:val="0"/>
        </w:numPr>
        <w:ind w:left="576"/>
      </w:pPr>
      <w:bookmarkStart w:id="37" w:name="_Toc185829653"/>
      <w:bookmarkStart w:id="38" w:name="_Toc187638177"/>
      <w:bookmarkStart w:id="39" w:name="_Toc376422249"/>
    </w:p>
    <w:p w:rsidR="0018120A" w:rsidRDefault="0018120A" w:rsidP="006A3993">
      <w:pPr>
        <w:pStyle w:val="Nadpis2"/>
      </w:pPr>
      <w:r w:rsidRPr="00C66CC4">
        <w:t>Nemocenská</w:t>
      </w:r>
      <w:bookmarkEnd w:id="37"/>
      <w:bookmarkEnd w:id="38"/>
      <w:bookmarkEnd w:id="39"/>
    </w:p>
    <w:p w:rsidR="0018120A" w:rsidRPr="003D1336" w:rsidRDefault="0018120A" w:rsidP="0018120A"/>
    <w:p w:rsidR="00A645A1" w:rsidRDefault="0018120A" w:rsidP="00EC1275">
      <w:pPr>
        <w:numPr>
          <w:ilvl w:val="0"/>
          <w:numId w:val="22"/>
        </w:numPr>
        <w:ind w:left="360"/>
        <w:rPr>
          <w:rStyle w:val="PromnnHTML"/>
        </w:rPr>
      </w:pPr>
      <w:r w:rsidRPr="00A645A1">
        <w:rPr>
          <w:rStyle w:val="PromnnHTML"/>
          <w:b/>
        </w:rPr>
        <w:t>Nemocenská</w:t>
      </w:r>
      <w:r w:rsidR="00361C5D">
        <w:rPr>
          <w:rStyle w:val="PromnnHTML"/>
        </w:rPr>
        <w:t xml:space="preserve"> bude opět</w:t>
      </w:r>
      <w:r w:rsidR="002F17B4">
        <w:rPr>
          <w:rStyle w:val="PromnnHTML"/>
        </w:rPr>
        <w:t xml:space="preserve"> jako v roce </w:t>
      </w:r>
      <w:r w:rsidR="00C345B2">
        <w:rPr>
          <w:rStyle w:val="PromnnHTML"/>
        </w:rPr>
        <w:t>201</w:t>
      </w:r>
      <w:r w:rsidR="00361C5D">
        <w:rPr>
          <w:rStyle w:val="PromnnHTML"/>
        </w:rPr>
        <w:t>0</w:t>
      </w:r>
      <w:r w:rsidR="00760B9B">
        <w:rPr>
          <w:rStyle w:val="PromnnHTML"/>
        </w:rPr>
        <w:t xml:space="preserve"> </w:t>
      </w:r>
      <w:r w:rsidRPr="00D618A0">
        <w:rPr>
          <w:rStyle w:val="PromnnHTML"/>
        </w:rPr>
        <w:t xml:space="preserve">náležet </w:t>
      </w:r>
      <w:r w:rsidRPr="00A645A1">
        <w:rPr>
          <w:rStyle w:val="PromnnHTML"/>
          <w:b/>
        </w:rPr>
        <w:t xml:space="preserve">od </w:t>
      </w:r>
      <w:r w:rsidR="00361C5D">
        <w:rPr>
          <w:rStyle w:val="PromnnHTML"/>
          <w:b/>
        </w:rPr>
        <w:t>15</w:t>
      </w:r>
      <w:r w:rsidRPr="00A645A1">
        <w:rPr>
          <w:rStyle w:val="PromnnHTML"/>
          <w:b/>
        </w:rPr>
        <w:t>. kalendářního</w:t>
      </w:r>
      <w:r w:rsidRPr="00D618A0">
        <w:rPr>
          <w:rStyle w:val="PromnnHTML"/>
        </w:rPr>
        <w:t xml:space="preserve"> </w:t>
      </w:r>
      <w:r w:rsidRPr="00A645A1">
        <w:rPr>
          <w:rStyle w:val="PromnnHTML"/>
          <w:b/>
        </w:rPr>
        <w:t>dne</w:t>
      </w:r>
      <w:r w:rsidRPr="00D618A0">
        <w:rPr>
          <w:rStyle w:val="PromnnHTML"/>
        </w:rPr>
        <w:t xml:space="preserve"> pracovní neschopnosti</w:t>
      </w:r>
      <w:r>
        <w:rPr>
          <w:rStyle w:val="PromnnHTML"/>
        </w:rPr>
        <w:t xml:space="preserve"> a bude ji vyplácet ČSSZ</w:t>
      </w:r>
      <w:r w:rsidR="00A645A1">
        <w:rPr>
          <w:rStyle w:val="PromnnHTML"/>
        </w:rPr>
        <w:t xml:space="preserve">/OSSZ. </w:t>
      </w:r>
    </w:p>
    <w:p w:rsidR="00A645A1" w:rsidRDefault="00A645A1" w:rsidP="00A645A1">
      <w:pPr>
        <w:ind w:left="360"/>
        <w:rPr>
          <w:rStyle w:val="PromnnHTML"/>
        </w:rPr>
      </w:pPr>
    </w:p>
    <w:p w:rsidR="0018120A" w:rsidRDefault="00760B9B" w:rsidP="00EC1275">
      <w:pPr>
        <w:numPr>
          <w:ilvl w:val="0"/>
          <w:numId w:val="22"/>
        </w:numPr>
        <w:rPr>
          <w:rFonts w:cs="Arial"/>
          <w:color w:val="000000"/>
          <w:sz w:val="18"/>
          <w:szCs w:val="18"/>
        </w:rPr>
      </w:pPr>
      <w:r>
        <w:rPr>
          <w:rStyle w:val="PromnnHTML"/>
        </w:rPr>
        <w:t>S</w:t>
      </w:r>
      <w:r w:rsidR="00A645A1" w:rsidRPr="00A645A1">
        <w:rPr>
          <w:rStyle w:val="PromnnHTML"/>
        </w:rPr>
        <w:t>azby pro nemocenské od 31. dne a od 61. dne trvání dočasné pracovní neschopnosti (karantény</w:t>
      </w:r>
      <w:r w:rsidR="00A645A1">
        <w:rPr>
          <w:rStyle w:val="PromnnHTML"/>
        </w:rPr>
        <w:t>)</w:t>
      </w:r>
      <w:r>
        <w:rPr>
          <w:rStyle w:val="PromnnHTML"/>
        </w:rPr>
        <w:t xml:space="preserve"> jsou totožné jako v roce </w:t>
      </w:r>
      <w:r w:rsidR="00C345B2">
        <w:rPr>
          <w:rStyle w:val="PromnnHTML"/>
        </w:rPr>
        <w:t>2013</w:t>
      </w:r>
      <w:r w:rsidR="00A645A1">
        <w:rPr>
          <w:rStyle w:val="PromnnHTML"/>
        </w:rPr>
        <w:t>.</w:t>
      </w:r>
    </w:p>
    <w:p w:rsidR="00A645A1" w:rsidRPr="00D618A0" w:rsidRDefault="00A645A1" w:rsidP="00A645A1">
      <w:pPr>
        <w:ind w:left="360"/>
        <w:rPr>
          <w:rStyle w:val="PromnnHTML"/>
        </w:rPr>
      </w:pPr>
    </w:p>
    <w:p w:rsidR="0018120A" w:rsidRPr="00D618A0" w:rsidRDefault="0018120A" w:rsidP="0018120A">
      <w:pPr>
        <w:rPr>
          <w:rStyle w:val="PromnnHTML"/>
          <w:b/>
        </w:rPr>
      </w:pPr>
      <w:r w:rsidRPr="00D618A0">
        <w:rPr>
          <w:b/>
        </w:rPr>
        <w:tab/>
      </w:r>
      <w:r w:rsidRPr="00D618A0">
        <w:rPr>
          <w:rStyle w:val="PromnnHTML"/>
        </w:rPr>
        <w:t xml:space="preserve">Nemocenská, pásma </w:t>
      </w:r>
    </w:p>
    <w:p w:rsidR="0018120A" w:rsidRPr="00D618A0" w:rsidRDefault="0018120A" w:rsidP="0018120A">
      <w:pPr>
        <w:ind w:left="360"/>
        <w:rPr>
          <w:rStyle w:val="PromnnHTM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1578"/>
        <w:gridCol w:w="1613"/>
      </w:tblGrid>
      <w:tr w:rsidR="0018120A" w:rsidRPr="00D618A0">
        <w:trPr>
          <w:jc w:val="center"/>
        </w:trPr>
        <w:tc>
          <w:tcPr>
            <w:tcW w:w="1579" w:type="dxa"/>
          </w:tcPr>
          <w:p w:rsidR="0018120A" w:rsidRPr="00FD71D0" w:rsidRDefault="0018120A" w:rsidP="00566BC5">
            <w:pPr>
              <w:rPr>
                <w:rStyle w:val="PromnnHTML"/>
                <w:b/>
              </w:rPr>
            </w:pPr>
            <w:r w:rsidRPr="00FD71D0">
              <w:rPr>
                <w:rStyle w:val="PromnnHTML"/>
                <w:b/>
              </w:rPr>
              <w:t>Den od</w:t>
            </w:r>
          </w:p>
        </w:tc>
        <w:tc>
          <w:tcPr>
            <w:tcW w:w="1578" w:type="dxa"/>
          </w:tcPr>
          <w:p w:rsidR="0018120A" w:rsidRPr="00FD71D0" w:rsidRDefault="0018120A" w:rsidP="00566BC5">
            <w:pPr>
              <w:rPr>
                <w:rStyle w:val="PromnnHTML"/>
                <w:b/>
              </w:rPr>
            </w:pPr>
            <w:r w:rsidRPr="00FD71D0">
              <w:rPr>
                <w:rStyle w:val="PromnnHTML"/>
                <w:b/>
              </w:rPr>
              <w:t>Den do</w:t>
            </w:r>
          </w:p>
        </w:tc>
        <w:tc>
          <w:tcPr>
            <w:tcW w:w="1613" w:type="dxa"/>
          </w:tcPr>
          <w:p w:rsidR="0018120A" w:rsidRPr="00FD71D0" w:rsidRDefault="0018120A" w:rsidP="00566BC5">
            <w:pPr>
              <w:rPr>
                <w:rStyle w:val="PromnnHTML"/>
                <w:b/>
              </w:rPr>
            </w:pPr>
            <w:r w:rsidRPr="00FD71D0">
              <w:rPr>
                <w:rStyle w:val="PromnnHTML"/>
                <w:b/>
              </w:rPr>
              <w:t>% DVZ</w:t>
            </w:r>
          </w:p>
        </w:tc>
      </w:tr>
      <w:tr w:rsidR="0018120A" w:rsidRPr="00D618A0">
        <w:trPr>
          <w:jc w:val="center"/>
        </w:trPr>
        <w:tc>
          <w:tcPr>
            <w:tcW w:w="1579" w:type="dxa"/>
          </w:tcPr>
          <w:p w:rsidR="0018120A" w:rsidRPr="00D618A0" w:rsidRDefault="00760B9B" w:rsidP="00566BC5">
            <w:pPr>
              <w:rPr>
                <w:rStyle w:val="PromnnHTML"/>
              </w:rPr>
            </w:pPr>
            <w:r>
              <w:rPr>
                <w:rStyle w:val="PromnnHTML"/>
              </w:rPr>
              <w:t>22</w:t>
            </w:r>
          </w:p>
        </w:tc>
        <w:tc>
          <w:tcPr>
            <w:tcW w:w="1578" w:type="dxa"/>
          </w:tcPr>
          <w:p w:rsidR="0018120A" w:rsidRPr="00D618A0" w:rsidRDefault="0018120A" w:rsidP="00566BC5">
            <w:pPr>
              <w:rPr>
                <w:rStyle w:val="PromnnHTML"/>
              </w:rPr>
            </w:pPr>
            <w:r>
              <w:rPr>
                <w:rStyle w:val="PromnnHTML"/>
              </w:rPr>
              <w:t>365</w:t>
            </w:r>
          </w:p>
        </w:tc>
        <w:tc>
          <w:tcPr>
            <w:tcW w:w="1613" w:type="dxa"/>
          </w:tcPr>
          <w:p w:rsidR="0018120A" w:rsidRPr="00FD5506" w:rsidRDefault="0018120A" w:rsidP="00566BC5">
            <w:pPr>
              <w:rPr>
                <w:rStyle w:val="PromnnHTML"/>
                <w:b/>
              </w:rPr>
            </w:pPr>
            <w:r w:rsidRPr="00FD5506">
              <w:rPr>
                <w:rStyle w:val="PromnnHTML"/>
                <w:b/>
              </w:rPr>
              <w:t>60 %</w:t>
            </w:r>
          </w:p>
        </w:tc>
      </w:tr>
    </w:tbl>
    <w:p w:rsidR="0018120A" w:rsidRPr="00D618A0" w:rsidRDefault="0018120A" w:rsidP="006A3993">
      <w:pPr>
        <w:pStyle w:val="Nadpis2"/>
        <w:rPr>
          <w:rStyle w:val="PromnnHTML"/>
        </w:rPr>
      </w:pPr>
      <w:bookmarkStart w:id="40" w:name="_Toc185829654"/>
      <w:bookmarkStart w:id="41" w:name="_Toc187638178"/>
      <w:bookmarkStart w:id="42" w:name="_Toc376422250"/>
      <w:r w:rsidRPr="00D618A0">
        <w:rPr>
          <w:rStyle w:val="PromnnHTML"/>
        </w:rPr>
        <w:t>O</w:t>
      </w:r>
      <w:bookmarkEnd w:id="40"/>
      <w:bookmarkEnd w:id="41"/>
      <w:r>
        <w:rPr>
          <w:rStyle w:val="PromnnHTML"/>
        </w:rPr>
        <w:t>šetřovné</w:t>
      </w:r>
      <w:bookmarkEnd w:id="42"/>
    </w:p>
    <w:p w:rsidR="0018120A" w:rsidRDefault="0018120A" w:rsidP="00EC1275">
      <w:pPr>
        <w:numPr>
          <w:ilvl w:val="0"/>
          <w:numId w:val="22"/>
        </w:numPr>
        <w:rPr>
          <w:rStyle w:val="PromnnHTML"/>
        </w:rPr>
      </w:pPr>
      <w:r>
        <w:rPr>
          <w:rStyle w:val="PromnnHTML"/>
        </w:rPr>
        <w:t>Ošetřovné</w:t>
      </w:r>
      <w:r w:rsidRPr="00D618A0">
        <w:rPr>
          <w:rStyle w:val="PromnnHTML"/>
        </w:rPr>
        <w:t xml:space="preserve"> </w:t>
      </w:r>
      <w:r>
        <w:rPr>
          <w:rStyle w:val="PromnnHTML"/>
        </w:rPr>
        <w:t>již nálež</w:t>
      </w:r>
      <w:r w:rsidR="00760B9B">
        <w:rPr>
          <w:rStyle w:val="PromnnHTML"/>
        </w:rPr>
        <w:t>í</w:t>
      </w:r>
      <w:r w:rsidRPr="00D618A0">
        <w:rPr>
          <w:rStyle w:val="PromnnHTML"/>
        </w:rPr>
        <w:t xml:space="preserve"> </w:t>
      </w:r>
      <w:r w:rsidRPr="00676220">
        <w:rPr>
          <w:rStyle w:val="PromnnHTML"/>
          <w:b/>
        </w:rPr>
        <w:t>od</w:t>
      </w:r>
      <w:r w:rsidRPr="000E4609">
        <w:rPr>
          <w:rStyle w:val="PromnnHTML"/>
        </w:rPr>
        <w:t xml:space="preserve"> </w:t>
      </w:r>
      <w:r w:rsidRPr="00676220">
        <w:rPr>
          <w:rStyle w:val="PromnnHTML"/>
          <w:b/>
        </w:rPr>
        <w:t>prvního</w:t>
      </w:r>
      <w:r w:rsidRPr="00D618A0">
        <w:rPr>
          <w:rStyle w:val="PromnnHTML"/>
        </w:rPr>
        <w:t xml:space="preserve"> kal</w:t>
      </w:r>
      <w:r w:rsidR="00760B9B">
        <w:rPr>
          <w:rStyle w:val="PromnnHTML"/>
        </w:rPr>
        <w:t xml:space="preserve">endářního dne ošetřování </w:t>
      </w:r>
      <w:r>
        <w:rPr>
          <w:rStyle w:val="PromnnHTML"/>
        </w:rPr>
        <w:t>a bude j</w:t>
      </w:r>
      <w:r w:rsidR="006C6783">
        <w:rPr>
          <w:rStyle w:val="PromnnHTML"/>
        </w:rPr>
        <w:t>e</w:t>
      </w:r>
      <w:r w:rsidR="00FE49AA">
        <w:rPr>
          <w:rStyle w:val="PromnnHTML"/>
        </w:rPr>
        <w:t xml:space="preserve"> i nadále </w:t>
      </w:r>
      <w:r w:rsidR="00330E68">
        <w:rPr>
          <w:rStyle w:val="PromnnHTML"/>
        </w:rPr>
        <w:t>vyplácet ČSSZ/OSSZ.</w:t>
      </w:r>
    </w:p>
    <w:p w:rsidR="0018120A" w:rsidRDefault="0018120A" w:rsidP="0018120A">
      <w:pPr>
        <w:ind w:left="720"/>
        <w:rPr>
          <w:rStyle w:val="PromnnHTML"/>
        </w:rPr>
      </w:pPr>
    </w:p>
    <w:p w:rsidR="0018120A" w:rsidRDefault="0018120A" w:rsidP="0018120A">
      <w:pPr>
        <w:ind w:firstLine="644"/>
      </w:pPr>
      <w:r>
        <w:t>Ošetřovné</w:t>
      </w:r>
      <w:r w:rsidRPr="000E4609">
        <w:t>, pásma</w:t>
      </w:r>
    </w:p>
    <w:p w:rsidR="0018120A" w:rsidRPr="00D618A0" w:rsidRDefault="0018120A" w:rsidP="0018120A">
      <w:pPr>
        <w:ind w:left="720"/>
        <w:rPr>
          <w:rStyle w:val="PromnnHTML"/>
        </w:rPr>
      </w:pPr>
    </w:p>
    <w:tbl>
      <w:tblPr>
        <w:tblW w:w="5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tblGrid>
      <w:tr w:rsidR="0018120A" w:rsidRPr="00D618A0">
        <w:trPr>
          <w:jc w:val="center"/>
        </w:trPr>
        <w:tc>
          <w:tcPr>
            <w:tcW w:w="1842" w:type="dxa"/>
          </w:tcPr>
          <w:p w:rsidR="0018120A" w:rsidRPr="00FD71D0" w:rsidRDefault="0018120A" w:rsidP="00566BC5">
            <w:pPr>
              <w:rPr>
                <w:rStyle w:val="PromnnHTML"/>
                <w:b/>
              </w:rPr>
            </w:pPr>
            <w:r w:rsidRPr="00FD71D0">
              <w:rPr>
                <w:rStyle w:val="PromnnHTML"/>
                <w:b/>
              </w:rPr>
              <w:t>Den od</w:t>
            </w:r>
          </w:p>
        </w:tc>
        <w:tc>
          <w:tcPr>
            <w:tcW w:w="1842" w:type="dxa"/>
          </w:tcPr>
          <w:p w:rsidR="0018120A" w:rsidRPr="00FD71D0" w:rsidRDefault="0018120A" w:rsidP="00566BC5">
            <w:pPr>
              <w:rPr>
                <w:rStyle w:val="PromnnHTML"/>
                <w:b/>
              </w:rPr>
            </w:pPr>
            <w:r w:rsidRPr="00FD71D0">
              <w:rPr>
                <w:rStyle w:val="PromnnHTML"/>
                <w:b/>
              </w:rPr>
              <w:t>Den do</w:t>
            </w:r>
          </w:p>
        </w:tc>
        <w:tc>
          <w:tcPr>
            <w:tcW w:w="1842" w:type="dxa"/>
          </w:tcPr>
          <w:p w:rsidR="0018120A" w:rsidRPr="00FD71D0" w:rsidRDefault="0018120A" w:rsidP="00566BC5">
            <w:pPr>
              <w:rPr>
                <w:rStyle w:val="PromnnHTML"/>
                <w:b/>
              </w:rPr>
            </w:pPr>
            <w:r w:rsidRPr="00FD71D0">
              <w:rPr>
                <w:rStyle w:val="PromnnHTML"/>
                <w:b/>
              </w:rPr>
              <w:t>% DVZ</w:t>
            </w:r>
          </w:p>
        </w:tc>
      </w:tr>
      <w:tr w:rsidR="0018120A" w:rsidRPr="00D618A0">
        <w:trPr>
          <w:jc w:val="center"/>
        </w:trPr>
        <w:tc>
          <w:tcPr>
            <w:tcW w:w="1842" w:type="dxa"/>
          </w:tcPr>
          <w:p w:rsidR="0018120A" w:rsidRPr="00D618A0" w:rsidRDefault="006C6783" w:rsidP="00566BC5">
            <w:pPr>
              <w:rPr>
                <w:rStyle w:val="PromnnHTML"/>
              </w:rPr>
            </w:pPr>
            <w:r>
              <w:rPr>
                <w:rStyle w:val="PromnnHTML"/>
              </w:rPr>
              <w:t>1</w:t>
            </w:r>
          </w:p>
        </w:tc>
        <w:tc>
          <w:tcPr>
            <w:tcW w:w="1842" w:type="dxa"/>
          </w:tcPr>
          <w:p w:rsidR="0018120A" w:rsidRPr="00D618A0" w:rsidRDefault="0018120A" w:rsidP="00566BC5">
            <w:pPr>
              <w:rPr>
                <w:rStyle w:val="PromnnHTML"/>
              </w:rPr>
            </w:pPr>
            <w:r w:rsidRPr="00D618A0">
              <w:rPr>
                <w:rStyle w:val="PromnnHTML"/>
              </w:rPr>
              <w:t>9/16</w:t>
            </w:r>
          </w:p>
        </w:tc>
        <w:tc>
          <w:tcPr>
            <w:tcW w:w="1842" w:type="dxa"/>
          </w:tcPr>
          <w:p w:rsidR="0018120A" w:rsidRPr="00FD5506" w:rsidRDefault="0018120A" w:rsidP="00566BC5">
            <w:pPr>
              <w:rPr>
                <w:rStyle w:val="PromnnHTML"/>
                <w:b/>
              </w:rPr>
            </w:pPr>
            <w:r w:rsidRPr="00FD5506">
              <w:rPr>
                <w:rStyle w:val="PromnnHTML"/>
                <w:b/>
              </w:rPr>
              <w:t>60 %</w:t>
            </w:r>
          </w:p>
        </w:tc>
      </w:tr>
    </w:tbl>
    <w:p w:rsidR="0018120A" w:rsidRPr="00D618A0" w:rsidRDefault="0018120A" w:rsidP="006A3993">
      <w:pPr>
        <w:pStyle w:val="Nadpis2"/>
        <w:rPr>
          <w:rStyle w:val="PromnnHTML"/>
        </w:rPr>
      </w:pPr>
      <w:bookmarkStart w:id="43" w:name="_Toc185829655"/>
      <w:bookmarkStart w:id="44" w:name="_Toc187638179"/>
      <w:bookmarkStart w:id="45" w:name="_Toc376422251"/>
      <w:r w:rsidRPr="00D618A0">
        <w:rPr>
          <w:rStyle w:val="PromnnHTML"/>
        </w:rPr>
        <w:t>Mateřské dávky</w:t>
      </w:r>
      <w:bookmarkEnd w:id="43"/>
      <w:bookmarkEnd w:id="44"/>
      <w:bookmarkEnd w:id="45"/>
    </w:p>
    <w:p w:rsidR="0018120A" w:rsidRPr="00883855" w:rsidRDefault="0018120A" w:rsidP="00EC1275">
      <w:pPr>
        <w:numPr>
          <w:ilvl w:val="0"/>
          <w:numId w:val="22"/>
        </w:numPr>
        <w:rPr>
          <w:rStyle w:val="PromnnHTML"/>
          <w:b/>
        </w:rPr>
      </w:pPr>
      <w:r w:rsidRPr="00D618A0">
        <w:rPr>
          <w:rStyle w:val="PromnnHTML"/>
          <w:b/>
        </w:rPr>
        <w:t>Mateřské dávky</w:t>
      </w:r>
      <w:r w:rsidRPr="00D618A0">
        <w:rPr>
          <w:rStyle w:val="PromnnHTML"/>
        </w:rPr>
        <w:t xml:space="preserve"> náleží </w:t>
      </w:r>
      <w:r w:rsidRPr="00D618A0">
        <w:rPr>
          <w:rStyle w:val="PromnnHTML"/>
          <w:b/>
        </w:rPr>
        <w:t>od prvního</w:t>
      </w:r>
      <w:r w:rsidRPr="00D618A0">
        <w:rPr>
          <w:rStyle w:val="PromnnHTML"/>
        </w:rPr>
        <w:t xml:space="preserve"> kalendářního dne</w:t>
      </w:r>
      <w:r>
        <w:rPr>
          <w:rStyle w:val="PromnnHTML"/>
        </w:rPr>
        <w:t xml:space="preserve"> a nadále je bude vyplácet ČSSZ.</w:t>
      </w:r>
    </w:p>
    <w:p w:rsidR="002F17B4" w:rsidRDefault="004F29BD" w:rsidP="00EC1275">
      <w:pPr>
        <w:numPr>
          <w:ilvl w:val="0"/>
          <w:numId w:val="22"/>
        </w:numPr>
        <w:rPr>
          <w:rStyle w:val="PromnnHTML"/>
        </w:rPr>
      </w:pPr>
      <w:r>
        <w:rPr>
          <w:rStyle w:val="PromnnHTML"/>
        </w:rPr>
        <w:t xml:space="preserve">V roce </w:t>
      </w:r>
      <w:r w:rsidR="00C345B2">
        <w:rPr>
          <w:rStyle w:val="PromnnHTML"/>
        </w:rPr>
        <w:t>2014</w:t>
      </w:r>
      <w:r>
        <w:rPr>
          <w:rStyle w:val="PromnnHTML"/>
        </w:rPr>
        <w:t xml:space="preserve"> </w:t>
      </w:r>
      <w:r w:rsidR="002F17B4">
        <w:rPr>
          <w:rStyle w:val="PromnnHTML"/>
          <w:b/>
        </w:rPr>
        <w:t>proplácené</w:t>
      </w:r>
      <w:r w:rsidR="00976793" w:rsidRPr="006C4F07">
        <w:rPr>
          <w:rStyle w:val="PromnnHTML"/>
          <w:b/>
        </w:rPr>
        <w:t xml:space="preserve"> procent</w:t>
      </w:r>
      <w:r w:rsidR="002F17B4">
        <w:rPr>
          <w:rStyle w:val="PromnnHTML"/>
          <w:b/>
        </w:rPr>
        <w:t>o</w:t>
      </w:r>
      <w:r w:rsidR="00976793" w:rsidRPr="006C4F07">
        <w:rPr>
          <w:rStyle w:val="PromnnHTML"/>
          <w:b/>
        </w:rPr>
        <w:t xml:space="preserve"> DVZ</w:t>
      </w:r>
      <w:r w:rsidR="00976793">
        <w:rPr>
          <w:rStyle w:val="PromnnHTML"/>
        </w:rPr>
        <w:t xml:space="preserve"> (</w:t>
      </w:r>
      <w:r w:rsidR="002F17B4">
        <w:rPr>
          <w:rStyle w:val="PromnnHTML"/>
        </w:rPr>
        <w:t>je</w:t>
      </w:r>
      <w:r w:rsidR="00976793">
        <w:rPr>
          <w:rStyle w:val="PromnnHTML"/>
        </w:rPr>
        <w:t xml:space="preserve"> </w:t>
      </w:r>
      <w:r>
        <w:rPr>
          <w:rStyle w:val="PromnnHTML"/>
        </w:rPr>
        <w:t>7</w:t>
      </w:r>
      <w:r w:rsidR="002F17B4">
        <w:rPr>
          <w:rStyle w:val="PromnnHTML"/>
        </w:rPr>
        <w:t>0%)</w:t>
      </w:r>
    </w:p>
    <w:p w:rsidR="002F17B4" w:rsidRPr="002F17B4" w:rsidRDefault="002F17B4" w:rsidP="002F17B4">
      <w:pPr>
        <w:numPr>
          <w:ilvl w:val="0"/>
          <w:numId w:val="22"/>
        </w:numPr>
        <w:rPr>
          <w:rStyle w:val="PromnnHTML"/>
        </w:rPr>
      </w:pPr>
      <w:r w:rsidRPr="002F17B4">
        <w:rPr>
          <w:rStyle w:val="PromnnHTML"/>
        </w:rPr>
        <w:t xml:space="preserve">V roce </w:t>
      </w:r>
      <w:r w:rsidR="00C345B2">
        <w:rPr>
          <w:rStyle w:val="PromnnHTML"/>
        </w:rPr>
        <w:t>2014</w:t>
      </w:r>
      <w:r w:rsidRPr="002F17B4">
        <w:rPr>
          <w:rStyle w:val="PromnnHTML"/>
        </w:rPr>
        <w:t xml:space="preserve"> je stejně jako v roce </w:t>
      </w:r>
      <w:r w:rsidR="00C345B2">
        <w:rPr>
          <w:rStyle w:val="PromnnHTML"/>
        </w:rPr>
        <w:t>2013</w:t>
      </w:r>
      <w:r w:rsidRPr="002F17B4">
        <w:rPr>
          <w:rStyle w:val="PromnnHTML"/>
        </w:rPr>
        <w:t xml:space="preserve"> počítáno do první redukční hranice se 100% redukované</w:t>
      </w:r>
      <w:r w:rsidR="00976793" w:rsidRPr="002F17B4">
        <w:rPr>
          <w:rStyle w:val="PromnnHTML"/>
        </w:rPr>
        <w:t xml:space="preserve"> DVZ</w:t>
      </w:r>
      <w:r w:rsidRPr="002F17B4">
        <w:rPr>
          <w:rStyle w:val="PromnnHTML"/>
        </w:rPr>
        <w:t>.</w:t>
      </w:r>
    </w:p>
    <w:p w:rsidR="0018120A" w:rsidRDefault="002F17B4" w:rsidP="002F17B4">
      <w:pPr>
        <w:ind w:left="1004"/>
        <w:rPr>
          <w:rStyle w:val="PromnnHTML"/>
          <w:b/>
        </w:rPr>
      </w:pPr>
      <w:r>
        <w:rPr>
          <w:rStyle w:val="PromnnHTML"/>
          <w:b/>
        </w:rPr>
        <w:t xml:space="preserve"> </w:t>
      </w:r>
    </w:p>
    <w:p w:rsidR="0018120A" w:rsidRPr="00BD547B" w:rsidRDefault="0018120A" w:rsidP="0018120A">
      <w:pPr>
        <w:ind w:left="644"/>
        <w:rPr>
          <w:b/>
          <w:iCs/>
        </w:rPr>
      </w:pPr>
      <w:r w:rsidRPr="00D618A0">
        <w:rPr>
          <w:b/>
        </w:rPr>
        <w:lastRenderedPageBreak/>
        <w:tab/>
        <w:t xml:space="preserve">Obr. </w:t>
      </w:r>
      <w:r w:rsidR="00F17911" w:rsidRPr="00D618A0">
        <w:rPr>
          <w:b/>
        </w:rPr>
        <w:fldChar w:fldCharType="begin"/>
      </w:r>
      <w:r w:rsidRPr="00D618A0">
        <w:rPr>
          <w:b/>
        </w:rPr>
        <w:instrText xml:space="preserve"> SEQ Obr. \* ARABIC </w:instrText>
      </w:r>
      <w:r w:rsidR="00F17911" w:rsidRPr="00D618A0">
        <w:rPr>
          <w:b/>
        </w:rPr>
        <w:fldChar w:fldCharType="separate"/>
      </w:r>
      <w:r w:rsidR="00AC1755">
        <w:rPr>
          <w:b/>
          <w:noProof/>
        </w:rPr>
        <w:t>1</w:t>
      </w:r>
      <w:r w:rsidR="00F17911" w:rsidRPr="00D618A0">
        <w:rPr>
          <w:b/>
        </w:rPr>
        <w:fldChar w:fldCharType="end"/>
      </w:r>
      <w:r w:rsidRPr="00D618A0">
        <w:rPr>
          <w:b/>
        </w:rPr>
        <w:t xml:space="preserve"> Mateřské dávky, pásma</w:t>
      </w:r>
    </w:p>
    <w:p w:rsidR="0018120A" w:rsidRPr="00D618A0" w:rsidRDefault="0018120A" w:rsidP="0018120A">
      <w:pPr>
        <w:ind w:left="720"/>
        <w:rPr>
          <w:rStyle w:val="PromnnHTM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tblGrid>
      <w:tr w:rsidR="0018120A" w:rsidRPr="00D618A0">
        <w:trPr>
          <w:jc w:val="center"/>
        </w:trPr>
        <w:tc>
          <w:tcPr>
            <w:tcW w:w="1842" w:type="dxa"/>
          </w:tcPr>
          <w:p w:rsidR="0018120A" w:rsidRPr="00FD71D0" w:rsidRDefault="0018120A" w:rsidP="00566BC5">
            <w:pPr>
              <w:rPr>
                <w:rStyle w:val="PromnnHTML"/>
                <w:b/>
              </w:rPr>
            </w:pPr>
            <w:r w:rsidRPr="00FD71D0">
              <w:rPr>
                <w:rStyle w:val="PromnnHTML"/>
                <w:b/>
              </w:rPr>
              <w:t>Den od</w:t>
            </w:r>
          </w:p>
        </w:tc>
        <w:tc>
          <w:tcPr>
            <w:tcW w:w="1842" w:type="dxa"/>
          </w:tcPr>
          <w:p w:rsidR="0018120A" w:rsidRPr="00FD71D0" w:rsidRDefault="0018120A" w:rsidP="00566BC5">
            <w:pPr>
              <w:rPr>
                <w:rStyle w:val="PromnnHTML"/>
                <w:b/>
              </w:rPr>
            </w:pPr>
            <w:r w:rsidRPr="00FD71D0">
              <w:rPr>
                <w:rStyle w:val="PromnnHTML"/>
                <w:b/>
              </w:rPr>
              <w:t>Den do</w:t>
            </w:r>
          </w:p>
        </w:tc>
        <w:tc>
          <w:tcPr>
            <w:tcW w:w="1842" w:type="dxa"/>
          </w:tcPr>
          <w:p w:rsidR="0018120A" w:rsidRPr="00FD71D0" w:rsidRDefault="0018120A" w:rsidP="00566BC5">
            <w:pPr>
              <w:rPr>
                <w:rStyle w:val="PromnnHTML"/>
                <w:b/>
              </w:rPr>
            </w:pPr>
            <w:r w:rsidRPr="00FD71D0">
              <w:rPr>
                <w:rStyle w:val="PromnnHTML"/>
                <w:b/>
              </w:rPr>
              <w:t>% DVZ</w:t>
            </w:r>
          </w:p>
        </w:tc>
      </w:tr>
      <w:tr w:rsidR="0018120A" w:rsidRPr="00D618A0">
        <w:trPr>
          <w:jc w:val="center"/>
        </w:trPr>
        <w:tc>
          <w:tcPr>
            <w:tcW w:w="1842" w:type="dxa"/>
          </w:tcPr>
          <w:p w:rsidR="0018120A" w:rsidRPr="00D618A0" w:rsidRDefault="0018120A" w:rsidP="00566BC5">
            <w:pPr>
              <w:rPr>
                <w:rStyle w:val="PromnnHTML"/>
              </w:rPr>
            </w:pPr>
            <w:r w:rsidRPr="00D618A0">
              <w:rPr>
                <w:rStyle w:val="PromnnHTML"/>
              </w:rPr>
              <w:t>1</w:t>
            </w:r>
          </w:p>
        </w:tc>
        <w:tc>
          <w:tcPr>
            <w:tcW w:w="1842" w:type="dxa"/>
          </w:tcPr>
          <w:p w:rsidR="0018120A" w:rsidRPr="00D618A0" w:rsidRDefault="0018120A" w:rsidP="00566BC5">
            <w:pPr>
              <w:rPr>
                <w:rStyle w:val="PromnnHTML"/>
              </w:rPr>
            </w:pPr>
            <w:r w:rsidRPr="00D618A0">
              <w:rPr>
                <w:rStyle w:val="PromnnHTML"/>
              </w:rPr>
              <w:t>196</w:t>
            </w:r>
          </w:p>
        </w:tc>
        <w:tc>
          <w:tcPr>
            <w:tcW w:w="1842" w:type="dxa"/>
          </w:tcPr>
          <w:p w:rsidR="0018120A" w:rsidRPr="00626732" w:rsidRDefault="004F29BD" w:rsidP="00566BC5">
            <w:pPr>
              <w:rPr>
                <w:rStyle w:val="PromnnHTML"/>
                <w:b/>
              </w:rPr>
            </w:pPr>
            <w:r>
              <w:rPr>
                <w:rStyle w:val="PromnnHTML"/>
                <w:b/>
              </w:rPr>
              <w:t>70</w:t>
            </w:r>
            <w:r w:rsidR="0018120A" w:rsidRPr="00626732">
              <w:rPr>
                <w:rStyle w:val="PromnnHTML"/>
                <w:b/>
              </w:rPr>
              <w:t xml:space="preserve"> %</w:t>
            </w:r>
          </w:p>
        </w:tc>
      </w:tr>
      <w:tr w:rsidR="0018120A" w:rsidRPr="00D618A0">
        <w:trPr>
          <w:jc w:val="center"/>
        </w:trPr>
        <w:tc>
          <w:tcPr>
            <w:tcW w:w="1842" w:type="dxa"/>
          </w:tcPr>
          <w:p w:rsidR="0018120A" w:rsidRPr="00D618A0" w:rsidRDefault="0018120A" w:rsidP="00566BC5">
            <w:pPr>
              <w:rPr>
                <w:rStyle w:val="PromnnHTML"/>
              </w:rPr>
            </w:pPr>
            <w:r w:rsidRPr="00D618A0">
              <w:rPr>
                <w:rStyle w:val="PromnnHTML"/>
              </w:rPr>
              <w:t>1</w:t>
            </w:r>
          </w:p>
        </w:tc>
        <w:tc>
          <w:tcPr>
            <w:tcW w:w="1842" w:type="dxa"/>
          </w:tcPr>
          <w:p w:rsidR="0018120A" w:rsidRPr="00D618A0" w:rsidRDefault="0018120A" w:rsidP="00566BC5">
            <w:pPr>
              <w:rPr>
                <w:rStyle w:val="PromnnHTML"/>
              </w:rPr>
            </w:pPr>
            <w:r>
              <w:rPr>
                <w:rStyle w:val="PromnnHTML"/>
              </w:rPr>
              <w:t>259</w:t>
            </w:r>
          </w:p>
        </w:tc>
        <w:tc>
          <w:tcPr>
            <w:tcW w:w="1842" w:type="dxa"/>
          </w:tcPr>
          <w:p w:rsidR="0018120A" w:rsidRPr="00626732" w:rsidRDefault="004F29BD" w:rsidP="00566BC5">
            <w:pPr>
              <w:rPr>
                <w:rStyle w:val="PromnnHTML"/>
                <w:b/>
              </w:rPr>
            </w:pPr>
            <w:r>
              <w:rPr>
                <w:rStyle w:val="PromnnHTML"/>
                <w:b/>
              </w:rPr>
              <w:t>70</w:t>
            </w:r>
            <w:r w:rsidR="0018120A" w:rsidRPr="00626732">
              <w:rPr>
                <w:rStyle w:val="PromnnHTML"/>
                <w:b/>
              </w:rPr>
              <w:t xml:space="preserve"> % </w:t>
            </w:r>
          </w:p>
        </w:tc>
      </w:tr>
    </w:tbl>
    <w:p w:rsidR="00361C5D" w:rsidRDefault="00361C5D" w:rsidP="00361C5D">
      <w:pPr>
        <w:pStyle w:val="Nadpis2"/>
        <w:numPr>
          <w:ilvl w:val="1"/>
          <w:numId w:val="1"/>
        </w:numPr>
        <w:rPr>
          <w:rStyle w:val="PromnnHTML"/>
        </w:rPr>
      </w:pPr>
      <w:bookmarkStart w:id="46" w:name="_Toc282587155"/>
      <w:bookmarkStart w:id="47" w:name="_Toc376422252"/>
      <w:r>
        <w:rPr>
          <w:rStyle w:val="PromnnHTML"/>
        </w:rPr>
        <w:t>Obecně o nemocenském pojištění</w:t>
      </w:r>
      <w:bookmarkEnd w:id="46"/>
      <w:bookmarkEnd w:id="47"/>
    </w:p>
    <w:p w:rsidR="00361C5D" w:rsidRPr="00F957C5" w:rsidRDefault="00361C5D" w:rsidP="00361C5D">
      <w:pPr>
        <w:pStyle w:val="Nadpis2"/>
        <w:numPr>
          <w:ilvl w:val="2"/>
          <w:numId w:val="8"/>
        </w:numPr>
      </w:pPr>
      <w:bookmarkStart w:id="48" w:name="_Toc282587156"/>
      <w:bookmarkStart w:id="49" w:name="_Toc376422253"/>
      <w:r>
        <w:t>Účinnost</w:t>
      </w:r>
      <w:bookmarkEnd w:id="48"/>
      <w:bookmarkEnd w:id="49"/>
    </w:p>
    <w:p w:rsidR="00361C5D" w:rsidRDefault="00361C5D" w:rsidP="00361C5D">
      <w:pPr>
        <w:rPr>
          <w:rStyle w:val="PromnnHTML"/>
        </w:rPr>
      </w:pPr>
      <w:r>
        <w:rPr>
          <w:rStyle w:val="PromnnHTML"/>
        </w:rPr>
        <w:t>Pokud sociální událost vznikla před 1.1.2014 a trvá i po 31.12.2013, přepočtou se dávky nemocenského pojištění ve vztahu k novým redukčním hranicím.</w:t>
      </w:r>
    </w:p>
    <w:p w:rsidR="00361C5D" w:rsidRDefault="00361C5D" w:rsidP="00361C5D">
      <w:pPr>
        <w:rPr>
          <w:rStyle w:val="PromnnHTML"/>
        </w:rPr>
      </w:pPr>
    </w:p>
    <w:p w:rsidR="000B1E05" w:rsidRDefault="00361C5D" w:rsidP="00361C5D">
      <w:pPr>
        <w:rPr>
          <w:rStyle w:val="PromnnHTML"/>
        </w:rPr>
      </w:pPr>
      <w:r>
        <w:rPr>
          <w:rStyle w:val="PromnnHTML"/>
        </w:rPr>
        <w:t xml:space="preserve">Jestliže dočasná pracovní neschopnost vznikla nebo karanténa byla nařízena před 1.1.2014 </w:t>
      </w:r>
      <w:r w:rsidRPr="000B1E05">
        <w:rPr>
          <w:rStyle w:val="PromnnHTML"/>
          <w:b/>
        </w:rPr>
        <w:t>a trvá ještě v roce 201</w:t>
      </w:r>
      <w:r>
        <w:rPr>
          <w:rStyle w:val="PromnnHTML"/>
          <w:b/>
        </w:rPr>
        <w:t>4</w:t>
      </w:r>
      <w:r>
        <w:rPr>
          <w:rStyle w:val="PromnnHTML"/>
        </w:rPr>
        <w:t>, vyplácí se nemocenské za podmínek a po dobu podle zákona č. 187/2006 Sb., o nemocenském pojištění, ve znění účinném do dne nabytí účinnosti tohoto zákona, tj. od 22. dne trvání dočasné pracovní neschopnosti.</w:t>
      </w:r>
    </w:p>
    <w:p w:rsidR="00D26D22" w:rsidRPr="00913E21" w:rsidRDefault="00D26D22" w:rsidP="006A3993">
      <w:pPr>
        <w:pStyle w:val="Nadpis2"/>
        <w:rPr>
          <w:rStyle w:val="PromnnHTML"/>
        </w:rPr>
      </w:pPr>
      <w:bookmarkStart w:id="50" w:name="_Toc376422254"/>
      <w:r w:rsidRPr="00913E21">
        <w:rPr>
          <w:rStyle w:val="PromnnHTML"/>
        </w:rPr>
        <w:t>Z hlediska Helios Orange</w:t>
      </w:r>
      <w:bookmarkEnd w:id="50"/>
    </w:p>
    <w:p w:rsidR="00D26D22" w:rsidRPr="00B304D9" w:rsidRDefault="00D26D22" w:rsidP="00B304D9">
      <w:pPr>
        <w:pStyle w:val="Zkladntext"/>
        <w:rPr>
          <w:rStyle w:val="PromnnHTML"/>
        </w:rPr>
      </w:pPr>
      <w:r w:rsidRPr="00B304D9">
        <w:rPr>
          <w:rStyle w:val="PromnnHTML"/>
        </w:rPr>
        <w:t>V nabídce Konstanty a číselníky, na</w:t>
      </w:r>
      <w:r w:rsidR="00BB0F7A">
        <w:rPr>
          <w:rStyle w:val="PromnnHTML"/>
        </w:rPr>
        <w:t xml:space="preserve"> záložce DNP a pojištění, </w:t>
      </w:r>
      <w:r w:rsidR="002F17B4">
        <w:rPr>
          <w:rStyle w:val="PromnnHTML"/>
        </w:rPr>
        <w:t xml:space="preserve">sekce </w:t>
      </w:r>
      <w:r w:rsidRPr="00B304D9">
        <w:rPr>
          <w:rStyle w:val="PromnnHTML"/>
        </w:rPr>
        <w:t>náhrady</w:t>
      </w:r>
      <w:r w:rsidR="002F17B4">
        <w:rPr>
          <w:rStyle w:val="PromnnHTML"/>
        </w:rPr>
        <w:t xml:space="preserve"> za pracovní neschopnost.</w:t>
      </w:r>
    </w:p>
    <w:p w:rsidR="00CE00AD" w:rsidRDefault="00CE00AD" w:rsidP="00B304D9">
      <w:pPr>
        <w:pStyle w:val="Zkladntext"/>
        <w:rPr>
          <w:rStyle w:val="PromnnHTML"/>
        </w:rPr>
      </w:pPr>
      <w:r w:rsidRPr="00927546">
        <w:rPr>
          <w:rStyle w:val="PromnnHTML"/>
        </w:rPr>
        <w:t>Záložka Náhrady za nemoc</w:t>
      </w:r>
      <w:r w:rsidR="00BB0F7A">
        <w:rPr>
          <w:rStyle w:val="PromnnHTML"/>
        </w:rPr>
        <w:t xml:space="preserve"> obsahuje od období leden </w:t>
      </w:r>
      <w:r w:rsidR="00C345B2">
        <w:rPr>
          <w:rStyle w:val="PromnnHTML"/>
        </w:rPr>
        <w:t>2014</w:t>
      </w:r>
      <w:r w:rsidR="00BB0F7A">
        <w:rPr>
          <w:rStyle w:val="PromnnHTML"/>
        </w:rPr>
        <w:t xml:space="preserve"> nové redukční hranice a procenta platná pro legislativu </w:t>
      </w:r>
      <w:r w:rsidR="00C345B2">
        <w:rPr>
          <w:rStyle w:val="PromnnHTML"/>
        </w:rPr>
        <w:t>2014</w:t>
      </w:r>
      <w:r w:rsidRPr="00927546">
        <w:rPr>
          <w:rStyle w:val="PromnnHTML"/>
        </w:rPr>
        <w:t>.</w:t>
      </w:r>
      <w:r w:rsidR="00D26D22">
        <w:rPr>
          <w:rStyle w:val="PromnnHTML"/>
        </w:rPr>
        <w:t xml:space="preserve"> Redukční hranice a procenta pro výpočet nemocenských dávek jsou v konstantách pouze informativně. Z těchto hodnot se v programu nic nepočítá.</w:t>
      </w:r>
    </w:p>
    <w:p w:rsidR="00361C5D" w:rsidRDefault="00361C5D" w:rsidP="00B304D9">
      <w:pPr>
        <w:pStyle w:val="Zkladntext"/>
        <w:rPr>
          <w:rStyle w:val="PromnnHTML"/>
        </w:rPr>
      </w:pPr>
    </w:p>
    <w:p w:rsidR="00927546" w:rsidRDefault="00927546" w:rsidP="00361C5D">
      <w:pPr>
        <w:jc w:val="center"/>
        <w:rPr>
          <w:rStyle w:val="PromnnHTML"/>
        </w:rPr>
      </w:pPr>
    </w:p>
    <w:p w:rsidR="006E643D" w:rsidRDefault="006E643D">
      <w:pPr>
        <w:widowControl/>
        <w:adjustRightInd/>
        <w:spacing w:line="240" w:lineRule="auto"/>
        <w:jc w:val="left"/>
        <w:textAlignment w:val="auto"/>
        <w:rPr>
          <w:rFonts w:cs="Arial"/>
          <w:b/>
          <w:bCs/>
          <w:caps/>
          <w:kern w:val="32"/>
          <w:sz w:val="32"/>
          <w:szCs w:val="32"/>
        </w:rPr>
      </w:pPr>
      <w:r>
        <w:br w:type="page"/>
      </w:r>
    </w:p>
    <w:p w:rsidR="00A05308" w:rsidRDefault="00A05308" w:rsidP="00A05308">
      <w:pPr>
        <w:pStyle w:val="Nadpis1"/>
        <w:numPr>
          <w:ilvl w:val="0"/>
          <w:numId w:val="1"/>
        </w:numPr>
      </w:pPr>
      <w:bookmarkStart w:id="51" w:name="_Toc376422255"/>
      <w:r>
        <w:lastRenderedPageBreak/>
        <w:t>Náhrada při pracovní neschopnosti</w:t>
      </w:r>
      <w:bookmarkEnd w:id="51"/>
    </w:p>
    <w:p w:rsidR="00A05308" w:rsidRDefault="00A75C3E" w:rsidP="006A3993">
      <w:pPr>
        <w:pStyle w:val="Nadpis2"/>
      </w:pPr>
      <w:bookmarkStart w:id="52" w:name="_Toc376422256"/>
      <w:r>
        <w:t>Redukovaný průměrný výdělek</w:t>
      </w:r>
      <w:bookmarkEnd w:id="52"/>
    </w:p>
    <w:p w:rsidR="00A05308" w:rsidRDefault="00A05308" w:rsidP="00A05308">
      <w:pPr>
        <w:rPr>
          <w:b/>
        </w:rPr>
      </w:pPr>
      <w:r w:rsidRPr="009C5645">
        <w:t xml:space="preserve">Vychází </w:t>
      </w:r>
      <w:r>
        <w:t xml:space="preserve">se ze zákona </w:t>
      </w:r>
      <w:r w:rsidRPr="00F10661">
        <w:rPr>
          <w:b/>
        </w:rPr>
        <w:t>262/2006 Sb. – Zákoníku práce (§ 192</w:t>
      </w:r>
      <w:r>
        <w:rPr>
          <w:b/>
        </w:rPr>
        <w:t>, 193, 194</w:t>
      </w:r>
      <w:r w:rsidRPr="00F10661">
        <w:rPr>
          <w:b/>
        </w:rPr>
        <w:t>)</w:t>
      </w:r>
    </w:p>
    <w:p w:rsidR="00B26E8E" w:rsidRDefault="00B26E8E" w:rsidP="00A05308"/>
    <w:p w:rsidR="00664DCB" w:rsidRDefault="00664DCB" w:rsidP="00A05308">
      <w:r w:rsidRPr="00664DCB">
        <w:t xml:space="preserve">Výpočet náhrady za dobu pracovní neschopnosti zůstal principiálně stejný jako v roce </w:t>
      </w:r>
      <w:r w:rsidR="00C345B2">
        <w:t>2013</w:t>
      </w:r>
      <w:r w:rsidRPr="00664DCB">
        <w:t>.</w:t>
      </w:r>
    </w:p>
    <w:p w:rsidR="003967D4" w:rsidRPr="00664DCB" w:rsidRDefault="003967D4" w:rsidP="00A05308"/>
    <w:p w:rsidR="00A05308" w:rsidRPr="003967D4" w:rsidRDefault="00A05308" w:rsidP="003967D4">
      <w:pPr>
        <w:pStyle w:val="Zkladntext"/>
        <w:rPr>
          <w:b/>
        </w:rPr>
      </w:pPr>
      <w:r w:rsidRPr="003967D4">
        <w:rPr>
          <w:b/>
        </w:rPr>
        <w:t>Výpočet redukovaného průměrného výdělku</w:t>
      </w:r>
    </w:p>
    <w:p w:rsidR="00A05308" w:rsidRDefault="00A05308" w:rsidP="00EC1275">
      <w:pPr>
        <w:numPr>
          <w:ilvl w:val="0"/>
          <w:numId w:val="23"/>
        </w:numPr>
        <w:rPr>
          <w:b/>
        </w:rPr>
      </w:pPr>
      <w:r w:rsidRPr="002104D8">
        <w:t xml:space="preserve">Průměrný výdělek se redukuje stejným způsobem jako pří výpočtu DVZ, pouze se jednotlivé redukční hranice vynásobí koeficientem </w:t>
      </w:r>
      <w:r w:rsidRPr="002104D8">
        <w:rPr>
          <w:b/>
        </w:rPr>
        <w:t>0,175</w:t>
      </w:r>
    </w:p>
    <w:p w:rsidR="00A05308" w:rsidRDefault="00A05308" w:rsidP="00A05308">
      <w:pPr>
        <w:rPr>
          <w:b/>
        </w:rPr>
      </w:pPr>
    </w:p>
    <w:tbl>
      <w:tblPr>
        <w:tblW w:w="5265"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6"/>
        <w:gridCol w:w="1559"/>
      </w:tblGrid>
      <w:tr w:rsidR="00A05308">
        <w:tc>
          <w:tcPr>
            <w:tcW w:w="3706" w:type="dxa"/>
          </w:tcPr>
          <w:p w:rsidR="00A05308" w:rsidRPr="00BE0035" w:rsidRDefault="00A05308" w:rsidP="00B22260">
            <w:pPr>
              <w:tabs>
                <w:tab w:val="right" w:pos="3890"/>
              </w:tabs>
              <w:rPr>
                <w:rStyle w:val="PromnnHTML"/>
                <w:b/>
              </w:rPr>
            </w:pPr>
            <w:r w:rsidRPr="00BE0035">
              <w:rPr>
                <w:rStyle w:val="PromnnHTML"/>
                <w:b/>
              </w:rPr>
              <w:t>Redukční hranice</w:t>
            </w:r>
            <w:r w:rsidRPr="00BE0035">
              <w:rPr>
                <w:rStyle w:val="PromnnHTML"/>
                <w:b/>
              </w:rPr>
              <w:tab/>
            </w:r>
          </w:p>
        </w:tc>
        <w:tc>
          <w:tcPr>
            <w:tcW w:w="1559" w:type="dxa"/>
          </w:tcPr>
          <w:p w:rsidR="00A05308" w:rsidRPr="00BE0035" w:rsidRDefault="00A05308" w:rsidP="00B22260">
            <w:pPr>
              <w:rPr>
                <w:rStyle w:val="PromnnHTML"/>
                <w:b/>
              </w:rPr>
            </w:pPr>
            <w:r w:rsidRPr="00BE0035">
              <w:rPr>
                <w:rStyle w:val="PromnnHTML"/>
                <w:b/>
              </w:rPr>
              <w:t>Procento</w:t>
            </w:r>
          </w:p>
        </w:tc>
      </w:tr>
      <w:tr w:rsidR="00A05308">
        <w:tc>
          <w:tcPr>
            <w:tcW w:w="3706" w:type="dxa"/>
          </w:tcPr>
          <w:p w:rsidR="00A05308" w:rsidRPr="00D572C4" w:rsidRDefault="00A05308" w:rsidP="00361C5D">
            <w:pPr>
              <w:tabs>
                <w:tab w:val="right" w:pos="3890"/>
              </w:tabs>
              <w:rPr>
                <w:rStyle w:val="PromnnHTML"/>
              </w:rPr>
            </w:pPr>
            <w:r w:rsidRPr="00D572C4">
              <w:rPr>
                <w:rStyle w:val="PromnnHTML"/>
              </w:rPr>
              <w:t xml:space="preserve">Do </w:t>
            </w:r>
            <w:r w:rsidR="00361C5D">
              <w:rPr>
                <w:rStyle w:val="PromnnHTML"/>
                <w:b/>
              </w:rPr>
              <w:t>151,38</w:t>
            </w:r>
            <w:r w:rsidRPr="00D572C4">
              <w:rPr>
                <w:rStyle w:val="PromnnHTML"/>
              </w:rPr>
              <w:t xml:space="preserve"> Kč</w:t>
            </w:r>
          </w:p>
        </w:tc>
        <w:tc>
          <w:tcPr>
            <w:tcW w:w="1559" w:type="dxa"/>
          </w:tcPr>
          <w:p w:rsidR="00A05308" w:rsidRPr="00BE0035" w:rsidRDefault="00A05308" w:rsidP="00B22260">
            <w:pPr>
              <w:rPr>
                <w:rStyle w:val="PromnnHTML"/>
                <w:b/>
              </w:rPr>
            </w:pPr>
            <w:r w:rsidRPr="00BE0035">
              <w:rPr>
                <w:rStyle w:val="PromnnHTML"/>
                <w:b/>
              </w:rPr>
              <w:t>90 %</w:t>
            </w:r>
          </w:p>
        </w:tc>
      </w:tr>
      <w:tr w:rsidR="00A05308">
        <w:tc>
          <w:tcPr>
            <w:tcW w:w="3706" w:type="dxa"/>
          </w:tcPr>
          <w:p w:rsidR="00A05308" w:rsidRPr="00D572C4" w:rsidRDefault="00A05308" w:rsidP="00361C5D">
            <w:pPr>
              <w:tabs>
                <w:tab w:val="right" w:pos="3890"/>
              </w:tabs>
              <w:rPr>
                <w:rStyle w:val="PromnnHTML"/>
              </w:rPr>
            </w:pPr>
            <w:r w:rsidRPr="00D572C4">
              <w:rPr>
                <w:rStyle w:val="PromnnHTML"/>
              </w:rPr>
              <w:t xml:space="preserve">Od </w:t>
            </w:r>
            <w:r w:rsidR="00835663">
              <w:rPr>
                <w:rStyle w:val="PromnnHTML"/>
                <w:b/>
              </w:rPr>
              <w:t>151,</w:t>
            </w:r>
            <w:r w:rsidR="00361C5D">
              <w:rPr>
                <w:rStyle w:val="PromnnHTML"/>
                <w:b/>
              </w:rPr>
              <w:t>38</w:t>
            </w:r>
            <w:r w:rsidRPr="00D572C4">
              <w:rPr>
                <w:rStyle w:val="PromnnHTML"/>
              </w:rPr>
              <w:t xml:space="preserve"> Kč do </w:t>
            </w:r>
            <w:r w:rsidR="00361C5D">
              <w:rPr>
                <w:rStyle w:val="PromnnHTML"/>
                <w:b/>
              </w:rPr>
              <w:t>227,15</w:t>
            </w:r>
            <w:r w:rsidRPr="00D572C4">
              <w:rPr>
                <w:rStyle w:val="PromnnHTML"/>
              </w:rPr>
              <w:t xml:space="preserve"> Kč</w:t>
            </w:r>
          </w:p>
        </w:tc>
        <w:tc>
          <w:tcPr>
            <w:tcW w:w="1559" w:type="dxa"/>
          </w:tcPr>
          <w:p w:rsidR="00A05308" w:rsidRPr="00BE0035" w:rsidRDefault="00A05308" w:rsidP="00B22260">
            <w:pPr>
              <w:rPr>
                <w:rStyle w:val="PromnnHTML"/>
                <w:b/>
              </w:rPr>
            </w:pPr>
            <w:r w:rsidRPr="00BE0035">
              <w:rPr>
                <w:rStyle w:val="PromnnHTML"/>
                <w:b/>
              </w:rPr>
              <w:t>60 %</w:t>
            </w:r>
          </w:p>
        </w:tc>
      </w:tr>
      <w:tr w:rsidR="00A05308">
        <w:tc>
          <w:tcPr>
            <w:tcW w:w="3706" w:type="dxa"/>
          </w:tcPr>
          <w:p w:rsidR="00A05308" w:rsidRPr="00D572C4" w:rsidRDefault="00A05308" w:rsidP="00361C5D">
            <w:pPr>
              <w:tabs>
                <w:tab w:val="right" w:pos="3890"/>
              </w:tabs>
              <w:rPr>
                <w:rStyle w:val="PromnnHTML"/>
              </w:rPr>
            </w:pPr>
            <w:r w:rsidRPr="00D572C4">
              <w:rPr>
                <w:rStyle w:val="PromnnHTML"/>
              </w:rPr>
              <w:t xml:space="preserve">Od </w:t>
            </w:r>
            <w:r w:rsidR="00361C5D">
              <w:rPr>
                <w:rStyle w:val="PromnnHTML"/>
                <w:b/>
              </w:rPr>
              <w:t>227,15</w:t>
            </w:r>
            <w:r w:rsidRPr="00D572C4">
              <w:rPr>
                <w:rStyle w:val="PromnnHTML"/>
              </w:rPr>
              <w:t xml:space="preserve"> Kč do </w:t>
            </w:r>
            <w:r w:rsidR="00361C5D">
              <w:rPr>
                <w:rStyle w:val="PromnnHTML"/>
                <w:b/>
              </w:rPr>
              <w:t>454,13</w:t>
            </w:r>
            <w:r w:rsidRPr="00D572C4">
              <w:rPr>
                <w:rStyle w:val="PromnnHTML"/>
              </w:rPr>
              <w:t xml:space="preserve"> Kč</w:t>
            </w:r>
          </w:p>
        </w:tc>
        <w:tc>
          <w:tcPr>
            <w:tcW w:w="1559" w:type="dxa"/>
          </w:tcPr>
          <w:p w:rsidR="00A05308" w:rsidRPr="00BE0035" w:rsidRDefault="00A05308" w:rsidP="00B22260">
            <w:pPr>
              <w:rPr>
                <w:rStyle w:val="PromnnHTML"/>
                <w:b/>
              </w:rPr>
            </w:pPr>
            <w:r w:rsidRPr="00BE0035">
              <w:rPr>
                <w:rStyle w:val="PromnnHTML"/>
                <w:b/>
              </w:rPr>
              <w:t>30 %</w:t>
            </w:r>
          </w:p>
        </w:tc>
      </w:tr>
    </w:tbl>
    <w:p w:rsidR="00A05308" w:rsidRDefault="00A05308" w:rsidP="00A05308">
      <w:pPr>
        <w:ind w:left="720"/>
      </w:pPr>
    </w:p>
    <w:p w:rsidR="00A05308" w:rsidRPr="00A81E9E" w:rsidRDefault="00A05308" w:rsidP="00EC1275">
      <w:pPr>
        <w:numPr>
          <w:ilvl w:val="0"/>
          <w:numId w:val="24"/>
        </w:numPr>
      </w:pPr>
      <w:r w:rsidRPr="00A81E9E">
        <w:t xml:space="preserve">Pro výpočet redukovaného průměrného výdělku se použije vždy průměrný výdělek </w:t>
      </w:r>
      <w:r w:rsidRPr="00AE21A2">
        <w:rPr>
          <w:b/>
        </w:rPr>
        <w:t>z daného měsíce proplácení</w:t>
      </w:r>
      <w:r>
        <w:t xml:space="preserve"> (nedotahuje </w:t>
      </w:r>
      <w:r w:rsidRPr="00A81E9E">
        <w:t>se průměr ze začátku nemoci</w:t>
      </w:r>
      <w:r>
        <w:t>, tak jako tomu bylo při vyplácení nemocenských dávek</w:t>
      </w:r>
      <w:r w:rsidRPr="00A81E9E">
        <w:t>)</w:t>
      </w:r>
    </w:p>
    <w:p w:rsidR="00A05308" w:rsidRPr="00577B0E" w:rsidRDefault="00A05308" w:rsidP="00EC1275">
      <w:pPr>
        <w:numPr>
          <w:ilvl w:val="0"/>
          <w:numId w:val="24"/>
        </w:numPr>
        <w:rPr>
          <w:b/>
        </w:rPr>
      </w:pPr>
      <w:r w:rsidRPr="000A6342">
        <w:rPr>
          <w:b/>
        </w:rPr>
        <w:t xml:space="preserve">Způsob zaokrouhlování </w:t>
      </w:r>
      <w:r w:rsidRPr="000A6342">
        <w:t xml:space="preserve">– při výpočtu redukovaného průměrného výdělku se pracuje s dvěma desetinnými místy – vyčíslí se hodnoty jednotlivých redukčních pásem na dvě desetinná místa a následně se sečtou – tzn. výsledný redukovaný průměrný výdělek je na </w:t>
      </w:r>
      <w:r w:rsidRPr="00C35087">
        <w:rPr>
          <w:b/>
        </w:rPr>
        <w:t>dvě desetinná místa</w:t>
      </w:r>
      <w:r>
        <w:t>.</w:t>
      </w:r>
      <w:r w:rsidRPr="000A6342">
        <w:t xml:space="preserve"> </w:t>
      </w:r>
    </w:p>
    <w:p w:rsidR="00A05308" w:rsidRPr="000A6342" w:rsidRDefault="00A05308" w:rsidP="00A05308">
      <w:pPr>
        <w:ind w:left="720"/>
        <w:rPr>
          <w:b/>
        </w:rPr>
      </w:pPr>
    </w:p>
    <w:p w:rsidR="00A05308" w:rsidRDefault="00A05308" w:rsidP="00A05308">
      <w:pPr>
        <w:ind w:left="720"/>
        <w:rPr>
          <w:b/>
        </w:rPr>
      </w:pPr>
      <w:r w:rsidRPr="000A6342">
        <w:rPr>
          <w:b/>
        </w:rPr>
        <w:t>Při zaokrouhlování na celé haléře lze doporučit zaokrouhlení NAHORU – nikde není zákonem upraveno</w:t>
      </w:r>
    </w:p>
    <w:p w:rsidR="00A05308" w:rsidRDefault="00A05308" w:rsidP="00A05308">
      <w:pPr>
        <w:ind w:left="720"/>
        <w:rPr>
          <w:b/>
        </w:rPr>
      </w:pPr>
    </w:p>
    <w:p w:rsidR="00A05308" w:rsidRPr="00A82273" w:rsidRDefault="00A05308" w:rsidP="00A05308">
      <w:pPr>
        <w:pStyle w:val="Titulek"/>
        <w:ind w:firstLine="709"/>
        <w:rPr>
          <w:b w:val="0"/>
        </w:rPr>
      </w:pPr>
      <w:r w:rsidRPr="00A82273">
        <w:t>Příklad</w:t>
      </w:r>
      <w:r w:rsidR="001D1CA9">
        <w:t>:</w:t>
      </w:r>
      <w:r w:rsidRPr="00A82273">
        <w:t xml:space="preserve"> </w:t>
      </w:r>
      <w:r w:rsidRPr="00A82273">
        <w:rPr>
          <w:b w:val="0"/>
        </w:rPr>
        <w:t xml:space="preserve"> Výpočet redukovaného průměrného výdělku</w:t>
      </w:r>
      <w:r w:rsidR="00664DCB">
        <w:rPr>
          <w:b w:val="0"/>
        </w:rPr>
        <w:t xml:space="preserve"> </w:t>
      </w:r>
    </w:p>
    <w:p w:rsidR="00A05308" w:rsidRDefault="00A05308" w:rsidP="00A05308">
      <w:pPr>
        <w:ind w:left="720"/>
        <w:rPr>
          <w:b/>
        </w:rPr>
      </w:pPr>
      <w:r>
        <w:t xml:space="preserve">Průměrný hodinový výdělek zaměstnance je </w:t>
      </w:r>
      <w:r w:rsidR="00425093">
        <w:rPr>
          <w:b/>
        </w:rPr>
        <w:t>340</w:t>
      </w:r>
      <w:r w:rsidRPr="00FC6B19">
        <w:rPr>
          <w:b/>
        </w:rPr>
        <w:t>,</w:t>
      </w:r>
      <w:r w:rsidR="00425093">
        <w:rPr>
          <w:b/>
        </w:rPr>
        <w:t>56</w:t>
      </w:r>
      <w:r w:rsidRPr="00FC6B19">
        <w:rPr>
          <w:b/>
        </w:rPr>
        <w:t xml:space="preserve"> Kč</w:t>
      </w:r>
    </w:p>
    <w:p w:rsidR="00A05308" w:rsidRDefault="00A05308" w:rsidP="00A05308">
      <w:pPr>
        <w:ind w:left="720"/>
        <w:rPr>
          <w:b/>
        </w:rPr>
      </w:pPr>
    </w:p>
    <w:p w:rsidR="00A05308" w:rsidRDefault="00A05308" w:rsidP="00A05308">
      <w:r>
        <w:rPr>
          <w:b/>
        </w:rPr>
        <w:lastRenderedPageBreak/>
        <w:tab/>
      </w:r>
      <w:r>
        <w:t>Do první redukční hranice bude započítáno: 90 % z</w:t>
      </w:r>
      <w:r w:rsidR="00835663">
        <w:t> </w:t>
      </w:r>
      <w:r w:rsidR="00835663">
        <w:rPr>
          <w:b/>
        </w:rPr>
        <w:t>151,</w:t>
      </w:r>
      <w:r w:rsidR="002F03C0">
        <w:rPr>
          <w:b/>
        </w:rPr>
        <w:t>38</w:t>
      </w:r>
      <w:r w:rsidR="00664DCB">
        <w:t xml:space="preserve"> = </w:t>
      </w:r>
      <w:r w:rsidR="00425093">
        <w:t>1</w:t>
      </w:r>
      <w:r w:rsidR="00F167D1">
        <w:t>3</w:t>
      </w:r>
      <w:r w:rsidR="002F03C0">
        <w:t>6</w:t>
      </w:r>
      <w:r w:rsidR="00835663">
        <w:t>,</w:t>
      </w:r>
      <w:r w:rsidR="002F03C0">
        <w:t>24</w:t>
      </w:r>
    </w:p>
    <w:p w:rsidR="00A05308" w:rsidRDefault="00A05308" w:rsidP="00A05308">
      <w:pPr>
        <w:ind w:firstLine="709"/>
      </w:pPr>
      <w:r>
        <w:t>Do druhé redukční hranice bude započítáno: 60 % z (</w:t>
      </w:r>
      <w:r w:rsidR="002F03C0">
        <w:rPr>
          <w:b/>
        </w:rPr>
        <w:t>227,15</w:t>
      </w:r>
      <w:r w:rsidR="006D1505">
        <w:t xml:space="preserve"> – </w:t>
      </w:r>
      <w:r w:rsidR="002F03C0">
        <w:t>151,38</w:t>
      </w:r>
      <w:r w:rsidR="000D6CC2">
        <w:t xml:space="preserve">) = </w:t>
      </w:r>
      <w:r w:rsidR="002F03C0">
        <w:t>45,46</w:t>
      </w:r>
    </w:p>
    <w:p w:rsidR="00A05308" w:rsidRDefault="00A05308" w:rsidP="00A05308">
      <w:pPr>
        <w:ind w:firstLine="709"/>
      </w:pPr>
      <w:r>
        <w:t>Do třetí redukční hranice bude započítáno: 30 % z (</w:t>
      </w:r>
      <w:r w:rsidR="00835663">
        <w:rPr>
          <w:b/>
        </w:rPr>
        <w:t>340,56</w:t>
      </w:r>
      <w:r w:rsidR="00425093">
        <w:rPr>
          <w:b/>
        </w:rPr>
        <w:t xml:space="preserve"> </w:t>
      </w:r>
      <w:r w:rsidR="00F167D1">
        <w:t xml:space="preserve">– </w:t>
      </w:r>
      <w:r w:rsidR="002F03C0">
        <w:t>227,15</w:t>
      </w:r>
      <w:r w:rsidR="000D6CC2">
        <w:t xml:space="preserve">) = </w:t>
      </w:r>
      <w:r w:rsidR="002F03C0">
        <w:t>34,02</w:t>
      </w:r>
    </w:p>
    <w:p w:rsidR="00A05308" w:rsidRDefault="00A05308" w:rsidP="00A05308">
      <w:pPr>
        <w:ind w:firstLine="709"/>
      </w:pPr>
    </w:p>
    <w:p w:rsidR="00A05308" w:rsidRDefault="00A05308" w:rsidP="00A05308">
      <w:pPr>
        <w:ind w:firstLine="709"/>
        <w:rPr>
          <w:b/>
        </w:rPr>
      </w:pPr>
      <w:r w:rsidRPr="004C1661">
        <w:rPr>
          <w:b/>
        </w:rPr>
        <w:t>Redukovaný</w:t>
      </w:r>
      <w:r>
        <w:t xml:space="preserve"> průměrný výdělek činí </w:t>
      </w:r>
      <w:r w:rsidR="002F03C0">
        <w:t xml:space="preserve">136,24 + 45,46 + 34,02 = </w:t>
      </w:r>
      <w:r w:rsidR="00425093">
        <w:rPr>
          <w:b/>
        </w:rPr>
        <w:t>21</w:t>
      </w:r>
      <w:r w:rsidR="00835663">
        <w:rPr>
          <w:b/>
        </w:rPr>
        <w:t>5</w:t>
      </w:r>
      <w:r w:rsidR="00425093">
        <w:rPr>
          <w:b/>
        </w:rPr>
        <w:t>,</w:t>
      </w:r>
      <w:r w:rsidR="002F03C0">
        <w:rPr>
          <w:b/>
        </w:rPr>
        <w:t>72</w:t>
      </w:r>
      <w:r w:rsidRPr="004C1661">
        <w:rPr>
          <w:b/>
        </w:rPr>
        <w:t xml:space="preserve"> Kč</w:t>
      </w:r>
    </w:p>
    <w:p w:rsidR="001B08A6" w:rsidRPr="004C1661" w:rsidRDefault="001B08A6" w:rsidP="00A05308">
      <w:pPr>
        <w:ind w:firstLine="709"/>
        <w:rPr>
          <w:b/>
        </w:rPr>
      </w:pPr>
    </w:p>
    <w:p w:rsidR="00A05308" w:rsidRDefault="00A915E2" w:rsidP="006A3993">
      <w:pPr>
        <w:pStyle w:val="Nadpis2"/>
      </w:pPr>
      <w:bookmarkStart w:id="53" w:name="_Toc376422257"/>
      <w:r>
        <w:t xml:space="preserve">Nárok na </w:t>
      </w:r>
      <w:r w:rsidR="00A05308">
        <w:t>náhrad</w:t>
      </w:r>
      <w:r>
        <w:t>u mzdy</w:t>
      </w:r>
      <w:bookmarkEnd w:id="53"/>
    </w:p>
    <w:p w:rsidR="009D3C9D" w:rsidRDefault="009D3C9D" w:rsidP="00EC1275">
      <w:pPr>
        <w:numPr>
          <w:ilvl w:val="0"/>
          <w:numId w:val="23"/>
        </w:numPr>
        <w:ind w:left="720"/>
      </w:pPr>
      <w:r w:rsidRPr="00624B30">
        <w:t>Zaměstnanci, který byl uznán práce neschopným</w:t>
      </w:r>
      <w:r w:rsidR="00097BF1">
        <w:t>,</w:t>
      </w:r>
      <w:r w:rsidRPr="00624B30">
        <w:t xml:space="preserve"> </w:t>
      </w:r>
      <w:r>
        <w:t>přísluší</w:t>
      </w:r>
      <w:r w:rsidRPr="00624B30">
        <w:t xml:space="preserve"> v</w:t>
      </w:r>
      <w:r>
        <w:t> </w:t>
      </w:r>
      <w:r w:rsidRPr="00624B30">
        <w:t>prvních</w:t>
      </w:r>
    </w:p>
    <w:p w:rsidR="009D3C9D" w:rsidRPr="00624B30" w:rsidRDefault="002F03C0" w:rsidP="009D3C9D">
      <w:pPr>
        <w:ind w:left="720"/>
      </w:pPr>
      <w:r>
        <w:rPr>
          <w:b/>
        </w:rPr>
        <w:t>14</w:t>
      </w:r>
      <w:r w:rsidR="009D3C9D" w:rsidRPr="00624B30">
        <w:rPr>
          <w:b/>
        </w:rPr>
        <w:t xml:space="preserve"> kalendářních</w:t>
      </w:r>
      <w:r w:rsidR="009D3C9D" w:rsidRPr="00624B30">
        <w:t xml:space="preserve"> dnech náhrada mzdy, </w:t>
      </w:r>
      <w:r w:rsidR="009D3C9D" w:rsidRPr="00624B30">
        <w:rPr>
          <w:b/>
        </w:rPr>
        <w:t xml:space="preserve">pokud ke dni vzniku neschopnosti splňuje podmínky nároku na výplatu nemocenských dávek – </w:t>
      </w:r>
      <w:r w:rsidR="009D3C9D" w:rsidRPr="00624B30">
        <w:t>tzn.:</w:t>
      </w:r>
    </w:p>
    <w:p w:rsidR="009D3C9D" w:rsidRDefault="009D3C9D" w:rsidP="009D3C9D">
      <w:pPr>
        <w:ind w:left="720"/>
      </w:pPr>
    </w:p>
    <w:p w:rsidR="009D3C9D" w:rsidRPr="007E72A1" w:rsidRDefault="009D3C9D" w:rsidP="00EC1275">
      <w:pPr>
        <w:pStyle w:val="Odstavecseseznamem"/>
        <w:numPr>
          <w:ilvl w:val="0"/>
          <w:numId w:val="23"/>
        </w:numPr>
      </w:pPr>
      <w:r w:rsidRPr="007E72A1">
        <w:t>zaměstnání založilo účast na nemocenském pojištění</w:t>
      </w:r>
    </w:p>
    <w:p w:rsidR="007E72A1" w:rsidRPr="007E72A1" w:rsidRDefault="009D3C9D" w:rsidP="007E72A1">
      <w:pPr>
        <w:pStyle w:val="Odstavecseseznamem"/>
        <w:ind w:left="644"/>
      </w:pPr>
      <w:r w:rsidRPr="007E72A1">
        <w:t>a zároveň</w:t>
      </w:r>
    </w:p>
    <w:p w:rsidR="009D3C9D" w:rsidRPr="007E72A1" w:rsidRDefault="009D3C9D" w:rsidP="00EC1275">
      <w:pPr>
        <w:pStyle w:val="Odstavecseseznamem"/>
        <w:numPr>
          <w:ilvl w:val="0"/>
          <w:numId w:val="23"/>
        </w:numPr>
      </w:pPr>
      <w:r w:rsidRPr="007E72A1">
        <w:t>není vyčerpána podpůrčí doba zaměstnance</w:t>
      </w:r>
    </w:p>
    <w:p w:rsidR="009D3C9D" w:rsidRDefault="009D3C9D" w:rsidP="00EC1275">
      <w:pPr>
        <w:numPr>
          <w:ilvl w:val="0"/>
          <w:numId w:val="23"/>
        </w:numPr>
      </w:pPr>
      <w:r>
        <w:t xml:space="preserve">Náhrada přísluší jen za dny, které jsou pro zaměstnance </w:t>
      </w:r>
      <w:r w:rsidRPr="00515A3D">
        <w:rPr>
          <w:b/>
        </w:rPr>
        <w:t>pracovními dny</w:t>
      </w:r>
      <w:r>
        <w:t xml:space="preserve"> a za </w:t>
      </w:r>
      <w:r w:rsidRPr="003B1404">
        <w:rPr>
          <w:b/>
        </w:rPr>
        <w:t>svátky, za které přísluší zaměstnanci náhrada mzdy nebo za které se mzda nekrátí</w:t>
      </w:r>
    </w:p>
    <w:p w:rsidR="009D3C9D" w:rsidRDefault="009D3C9D" w:rsidP="00EC1275">
      <w:pPr>
        <w:numPr>
          <w:ilvl w:val="0"/>
          <w:numId w:val="23"/>
        </w:numPr>
      </w:pPr>
      <w:r w:rsidRPr="00E46570">
        <w:t xml:space="preserve">Náhrada přísluší </w:t>
      </w:r>
      <w:r w:rsidRPr="00C11895">
        <w:rPr>
          <w:b/>
        </w:rPr>
        <w:t>za počet hodin</w:t>
      </w:r>
      <w:r w:rsidRPr="00E46570">
        <w:t xml:space="preserve">, na které byla pracovní doba rozvržena </w:t>
      </w:r>
    </w:p>
    <w:p w:rsidR="009D3C9D" w:rsidRPr="000B49D7" w:rsidRDefault="009D3C9D" w:rsidP="002F03C0">
      <w:pPr>
        <w:numPr>
          <w:ilvl w:val="0"/>
          <w:numId w:val="23"/>
        </w:numPr>
      </w:pPr>
      <w:r w:rsidRPr="00D547A0">
        <w:t xml:space="preserve">Za </w:t>
      </w:r>
      <w:r w:rsidRPr="002F03C0">
        <w:rPr>
          <w:b/>
        </w:rPr>
        <w:t>první 3 pracovní</w:t>
      </w:r>
      <w:r w:rsidR="002F03C0">
        <w:t xml:space="preserve"> dny náhrada nepřísluší </w:t>
      </w:r>
      <w:r w:rsidRPr="00D547A0">
        <w:t>– jedná se o tzv. karenční dobu</w:t>
      </w:r>
      <w:r w:rsidR="002F03C0">
        <w:t xml:space="preserve"> </w:t>
      </w:r>
      <w:r w:rsidRPr="0054687A">
        <w:t xml:space="preserve">Náhrada přísluší nejdéle do vyčerpání </w:t>
      </w:r>
      <w:r w:rsidRPr="002F03C0">
        <w:rPr>
          <w:b/>
        </w:rPr>
        <w:t>podpůrčí doby</w:t>
      </w:r>
    </w:p>
    <w:p w:rsidR="009D3C9D" w:rsidRPr="0054687A" w:rsidRDefault="009D3C9D" w:rsidP="00EC1275">
      <w:pPr>
        <w:numPr>
          <w:ilvl w:val="0"/>
          <w:numId w:val="23"/>
        </w:numPr>
      </w:pPr>
      <w:r>
        <w:t xml:space="preserve">Náhrada přísluší </w:t>
      </w:r>
      <w:r w:rsidRPr="008168EF">
        <w:rPr>
          <w:b/>
        </w:rPr>
        <w:t>nejdéle do ukončení pracovního poměru</w:t>
      </w:r>
    </w:p>
    <w:p w:rsidR="00A915E2" w:rsidRPr="00A915E2" w:rsidRDefault="00A915E2" w:rsidP="006A3993">
      <w:pPr>
        <w:pStyle w:val="Nadpis2"/>
      </w:pPr>
      <w:bookmarkStart w:id="54" w:name="_Toc376422258"/>
      <w:r>
        <w:t>Výpočet náhrady mzdy</w:t>
      </w:r>
      <w:bookmarkEnd w:id="54"/>
    </w:p>
    <w:p w:rsidR="00A05308" w:rsidRDefault="00A05308" w:rsidP="00EC1275">
      <w:pPr>
        <w:numPr>
          <w:ilvl w:val="0"/>
          <w:numId w:val="25"/>
        </w:numPr>
      </w:pPr>
      <w:r w:rsidRPr="00A842EB">
        <w:t>Náhrada mzdy přísluší ve výši</w:t>
      </w:r>
      <w:r>
        <w:t xml:space="preserve"> alespoň</w:t>
      </w:r>
      <w:r w:rsidRPr="00A842EB">
        <w:t xml:space="preserve"> </w:t>
      </w:r>
      <w:r w:rsidRPr="00A842EB">
        <w:rPr>
          <w:b/>
        </w:rPr>
        <w:t>60 %</w:t>
      </w:r>
      <w:r w:rsidRPr="00A842EB">
        <w:t xml:space="preserve"> </w:t>
      </w:r>
      <w:r w:rsidRPr="008D0727">
        <w:rPr>
          <w:b/>
        </w:rPr>
        <w:t>redukovaného</w:t>
      </w:r>
      <w:r w:rsidRPr="00A842EB">
        <w:t xml:space="preserve"> průměrného výdělku</w:t>
      </w:r>
    </w:p>
    <w:p w:rsidR="00A05308" w:rsidRDefault="00A05308" w:rsidP="00EC1275">
      <w:pPr>
        <w:numPr>
          <w:ilvl w:val="0"/>
          <w:numId w:val="25"/>
        </w:numPr>
      </w:pPr>
      <w:r>
        <w:t xml:space="preserve">Náhrada je počítána, stejně jako průměrný výdělek, tzn. na </w:t>
      </w:r>
      <w:r w:rsidRPr="00C0797A">
        <w:rPr>
          <w:b/>
        </w:rPr>
        <w:t>hodinu</w:t>
      </w:r>
    </w:p>
    <w:p w:rsidR="00A05308" w:rsidRPr="00AC7DF2" w:rsidRDefault="00A05308" w:rsidP="00EC1275">
      <w:pPr>
        <w:numPr>
          <w:ilvl w:val="0"/>
          <w:numId w:val="25"/>
        </w:numPr>
      </w:pPr>
      <w:r>
        <w:t xml:space="preserve">Náhrada přísluší za </w:t>
      </w:r>
      <w:r w:rsidRPr="0017753D">
        <w:rPr>
          <w:b/>
        </w:rPr>
        <w:t>pracovní</w:t>
      </w:r>
      <w:r>
        <w:t xml:space="preserve"> dny, tzn. za </w:t>
      </w:r>
      <w:r w:rsidRPr="0017753D">
        <w:rPr>
          <w:b/>
        </w:rPr>
        <w:t>hodiny, které měly být odpracovány</w:t>
      </w:r>
    </w:p>
    <w:p w:rsidR="00A05308" w:rsidRDefault="00A05308" w:rsidP="00EC1275">
      <w:pPr>
        <w:numPr>
          <w:ilvl w:val="0"/>
          <w:numId w:val="25"/>
        </w:numPr>
      </w:pPr>
      <w:r>
        <w:t xml:space="preserve">Náhrada </w:t>
      </w:r>
      <w:r w:rsidRPr="00C54F62">
        <w:rPr>
          <w:b/>
        </w:rPr>
        <w:t>přísluší za svátky</w:t>
      </w:r>
      <w:r>
        <w:t>, za které přísluší zaměstnanci náhrada mzdy nebo za svátky, za které se mzda nekrátí (tzn. za placené svátky)</w:t>
      </w:r>
    </w:p>
    <w:p w:rsidR="00A05308" w:rsidRDefault="00473053" w:rsidP="00D26D22">
      <w:pPr>
        <w:pStyle w:val="Nadpis3"/>
      </w:pPr>
      <w:bookmarkStart w:id="55" w:name="_Toc376422259"/>
      <w:r>
        <w:t xml:space="preserve">4.3.1. </w:t>
      </w:r>
      <w:r w:rsidR="00A05308">
        <w:t>Nadlimitní plnění</w:t>
      </w:r>
      <w:bookmarkEnd w:id="55"/>
    </w:p>
    <w:p w:rsidR="00A05308" w:rsidRPr="00BB2AB1" w:rsidRDefault="00A05308" w:rsidP="00EC1275">
      <w:pPr>
        <w:numPr>
          <w:ilvl w:val="0"/>
          <w:numId w:val="23"/>
        </w:numPr>
      </w:pPr>
      <w:r w:rsidRPr="002D2194">
        <w:t>Firma může stanovit náhradu mzdy vyšší (§ 192, odst.3 zákoníku práce)</w:t>
      </w:r>
      <w:r>
        <w:t xml:space="preserve">, </w:t>
      </w:r>
      <w:r w:rsidRPr="002D2194">
        <w:t xml:space="preserve">maximálně </w:t>
      </w:r>
      <w:r>
        <w:t xml:space="preserve">však </w:t>
      </w:r>
      <w:r w:rsidRPr="002D2194">
        <w:t xml:space="preserve">do 100 % </w:t>
      </w:r>
      <w:r w:rsidRPr="002D2194">
        <w:rPr>
          <w:b/>
        </w:rPr>
        <w:t>průměrného</w:t>
      </w:r>
      <w:r w:rsidRPr="002D2194">
        <w:t xml:space="preserve"> </w:t>
      </w:r>
      <w:r w:rsidRPr="002D2194">
        <w:rPr>
          <w:b/>
        </w:rPr>
        <w:t>výdělku</w:t>
      </w:r>
      <w:r>
        <w:rPr>
          <w:b/>
        </w:rPr>
        <w:t xml:space="preserve">. </w:t>
      </w:r>
      <w:r>
        <w:t xml:space="preserve">V praxi to bude znamenat, že firma může na </w:t>
      </w:r>
      <w:r>
        <w:lastRenderedPageBreak/>
        <w:t>základě dohody nebo vnitřní směrnice zvolit procento náhrady vyšší než 60% a tento „nadlimitní“ příspěvek může být počítán jednak z redukovaného průměru na dovolenou a jednak z neredukovaného průměru na dovolenou. Maximem je 100 % průměru na dovolenou (za hodinu náhrady).</w:t>
      </w:r>
    </w:p>
    <w:p w:rsidR="00A05308" w:rsidRPr="00BB2AB1" w:rsidRDefault="00A05308" w:rsidP="00EC1275">
      <w:pPr>
        <w:numPr>
          <w:ilvl w:val="0"/>
          <w:numId w:val="23"/>
        </w:numPr>
      </w:pPr>
      <w:r w:rsidRPr="00BB2AB1">
        <w:t>V rámci jedné organizace lze poskytnout různá nadlimitní plnění</w:t>
      </w:r>
      <w:r>
        <w:t>, tzn., že každému zaměstnanci může náležet různá výše nadlimitního plnění.</w:t>
      </w:r>
    </w:p>
    <w:p w:rsidR="00A05308" w:rsidRDefault="00473053" w:rsidP="00D26D22">
      <w:pPr>
        <w:pStyle w:val="Nadpis3"/>
      </w:pPr>
      <w:bookmarkStart w:id="56" w:name="_Toc376422260"/>
      <w:r>
        <w:t xml:space="preserve">4.3.2. </w:t>
      </w:r>
      <w:r w:rsidR="00A05308">
        <w:t>Snížení odvodu na sociální pojištění</w:t>
      </w:r>
      <w:bookmarkEnd w:id="56"/>
    </w:p>
    <w:p w:rsidR="007E72A1" w:rsidRDefault="00A05308" w:rsidP="00EC1275">
      <w:pPr>
        <w:numPr>
          <w:ilvl w:val="0"/>
          <w:numId w:val="23"/>
        </w:numPr>
      </w:pPr>
      <w:r w:rsidRPr="00BE4DBC">
        <w:t xml:space="preserve">Náhradu mzdy bude zaměstnavatel platit ze svých prostředků, </w:t>
      </w:r>
      <w:r w:rsidR="007E72A1">
        <w:t>zaměstnavatel hradí celou částku náhrady.</w:t>
      </w:r>
    </w:p>
    <w:p w:rsidR="007E72A1" w:rsidRPr="007E72A1" w:rsidRDefault="007E72A1" w:rsidP="00EC1275">
      <w:pPr>
        <w:numPr>
          <w:ilvl w:val="0"/>
          <w:numId w:val="23"/>
        </w:numPr>
        <w:rPr>
          <w:b/>
        </w:rPr>
      </w:pPr>
      <w:r w:rsidRPr="007E72A1">
        <w:t xml:space="preserve">V případě zaměstnavatele, který odvádí pojistné ve výši 26% z vyměřovacího základu, snižuje si odvod pojistného o </w:t>
      </w:r>
      <w:r w:rsidR="00A05308" w:rsidRPr="007E72A1">
        <w:rPr>
          <w:b/>
        </w:rPr>
        <w:t>polovinu</w:t>
      </w:r>
      <w:r w:rsidRPr="007E72A1">
        <w:rPr>
          <w:b/>
        </w:rPr>
        <w:t xml:space="preserve"> </w:t>
      </w:r>
      <w:r w:rsidR="00A05308" w:rsidRPr="007E72A1">
        <w:rPr>
          <w:b/>
        </w:rPr>
        <w:t>z legislativní částky</w:t>
      </w:r>
      <w:r w:rsidR="00A05308" w:rsidRPr="007E72A1">
        <w:t xml:space="preserve"> (tzn. z 60 % redukovaného průměrného výdělku), kterou uhradí na náhradách zaměstnanci</w:t>
      </w:r>
      <w:r>
        <w:t>.</w:t>
      </w:r>
    </w:p>
    <w:p w:rsidR="00A05308" w:rsidRPr="007E72A1" w:rsidRDefault="00A05308" w:rsidP="00EC1275">
      <w:pPr>
        <w:numPr>
          <w:ilvl w:val="0"/>
          <w:numId w:val="23"/>
        </w:numPr>
        <w:rPr>
          <w:b/>
        </w:rPr>
      </w:pPr>
      <w:r w:rsidRPr="007E72A1">
        <w:t xml:space="preserve">Polovina odečítané částky z legislativních náhrad se zaokrouhluje na </w:t>
      </w:r>
      <w:r w:rsidRPr="007E72A1">
        <w:rPr>
          <w:b/>
        </w:rPr>
        <w:t>koruny nahoru.</w:t>
      </w:r>
    </w:p>
    <w:p w:rsidR="00A05308" w:rsidRDefault="00A05308" w:rsidP="00EC1275">
      <w:pPr>
        <w:numPr>
          <w:ilvl w:val="0"/>
          <w:numId w:val="23"/>
        </w:numPr>
      </w:pPr>
      <w:r w:rsidRPr="00260D4A">
        <w:t xml:space="preserve">Poskytne-li </w:t>
      </w:r>
      <w:r>
        <w:t xml:space="preserve">zaměstnavatel nadlimitní náhradu </w:t>
      </w:r>
      <w:r>
        <w:rPr>
          <w:b/>
        </w:rPr>
        <w:t>vyšší</w:t>
      </w:r>
      <w:r w:rsidRPr="00A50B8A">
        <w:rPr>
          <w:b/>
        </w:rPr>
        <w:t xml:space="preserve"> než stanoví zákon</w:t>
      </w:r>
      <w:r w:rsidRPr="00260D4A">
        <w:t>, musí ze svých prostředků plně hradit částku, která byla poskytnuta nad zákonem stanovenou výši</w:t>
      </w:r>
      <w:r>
        <w:t>. Tzn., že si neodečítá částku z odvodu na sociální pojištění a současně je tato nadlimitní částka základem pro odvod pojistného a daní.</w:t>
      </w:r>
    </w:p>
    <w:p w:rsidR="00A05308" w:rsidRDefault="00473053" w:rsidP="00D26D22">
      <w:pPr>
        <w:pStyle w:val="Nadpis3"/>
      </w:pPr>
      <w:bookmarkStart w:id="57" w:name="_Toc376422261"/>
      <w:r>
        <w:t xml:space="preserve">4.3.3. </w:t>
      </w:r>
      <w:r w:rsidR="00A05308">
        <w:t>Odvody daní, sociálního a zdravotního pojištění z náhrady</w:t>
      </w:r>
      <w:bookmarkEnd w:id="57"/>
    </w:p>
    <w:p w:rsidR="00A05308" w:rsidRPr="004D6636" w:rsidRDefault="00A05308" w:rsidP="00EC1275">
      <w:pPr>
        <w:numPr>
          <w:ilvl w:val="0"/>
          <w:numId w:val="23"/>
        </w:numPr>
        <w:rPr>
          <w:b/>
        </w:rPr>
      </w:pPr>
      <w:r w:rsidRPr="00A842EB">
        <w:t>Z</w:t>
      </w:r>
      <w:r w:rsidR="007E72A1">
        <w:t xml:space="preserve"> náhrady mzdy za prvních </w:t>
      </w:r>
      <w:r w:rsidR="002F03C0">
        <w:t>1</w:t>
      </w:r>
      <w:r w:rsidR="0002179C">
        <w:t>4</w:t>
      </w:r>
      <w:r w:rsidRPr="00A842EB">
        <w:t xml:space="preserve"> dnů </w:t>
      </w:r>
      <w:r w:rsidRPr="00A15B9B">
        <w:rPr>
          <w:b/>
        </w:rPr>
        <w:t>ve výši 60 %</w:t>
      </w:r>
      <w:r>
        <w:t xml:space="preserve"> </w:t>
      </w:r>
      <w:r w:rsidRPr="004D6636">
        <w:t>redukovaného průměrného</w:t>
      </w:r>
      <w:r>
        <w:t xml:space="preserve"> </w:t>
      </w:r>
      <w:r w:rsidRPr="004D6636">
        <w:t>výdělku</w:t>
      </w:r>
      <w:r>
        <w:t xml:space="preserve"> </w:t>
      </w:r>
      <w:r w:rsidRPr="004D6636">
        <w:rPr>
          <w:b/>
        </w:rPr>
        <w:t>se neplatí daň, ZP, ani SP</w:t>
      </w:r>
    </w:p>
    <w:p w:rsidR="00A05308" w:rsidRPr="004D6636" w:rsidRDefault="007E72A1" w:rsidP="00EC1275">
      <w:pPr>
        <w:numPr>
          <w:ilvl w:val="0"/>
          <w:numId w:val="23"/>
        </w:numPr>
        <w:rPr>
          <w:b/>
        </w:rPr>
      </w:pPr>
      <w:r>
        <w:t xml:space="preserve">Z náhrady mzdy za prvních </w:t>
      </w:r>
      <w:r w:rsidR="002F03C0">
        <w:t>1</w:t>
      </w:r>
      <w:r w:rsidR="0002179C">
        <w:t>4</w:t>
      </w:r>
      <w:r w:rsidR="00A05308">
        <w:t xml:space="preserve"> dnů, která je </w:t>
      </w:r>
      <w:r w:rsidR="00A05308" w:rsidRPr="004D6636">
        <w:rPr>
          <w:b/>
        </w:rPr>
        <w:t>nad zákonem stanovených 60 %</w:t>
      </w:r>
      <w:r w:rsidR="00A05308">
        <w:t xml:space="preserve"> </w:t>
      </w:r>
      <w:r w:rsidR="00A05308" w:rsidRPr="004D6636">
        <w:t>redukovaného průměrného výdělku</w:t>
      </w:r>
      <w:r w:rsidR="00A05308">
        <w:t xml:space="preserve"> </w:t>
      </w:r>
      <w:r w:rsidR="00A05308" w:rsidRPr="004D6636">
        <w:rPr>
          <w:b/>
        </w:rPr>
        <w:t>se platí daň, ZP a SP.</w:t>
      </w:r>
    </w:p>
    <w:p w:rsidR="00904085" w:rsidRDefault="00904085" w:rsidP="00904085">
      <w:pPr>
        <w:rPr>
          <w:rStyle w:val="PromnnHTML"/>
        </w:rPr>
      </w:pPr>
    </w:p>
    <w:p w:rsidR="00316855" w:rsidRDefault="00904085" w:rsidP="00316855">
      <w:pPr>
        <w:rPr>
          <w:rStyle w:val="PromnnHTML"/>
          <w:b/>
        </w:rPr>
      </w:pPr>
      <w:r w:rsidRPr="0030390D">
        <w:rPr>
          <w:rStyle w:val="PromnnHTML"/>
          <w:b/>
        </w:rPr>
        <w:t>Výpočet pokračující nemoci zohledňuje redukční hranice z vybraného období, kde se pokračující pracovní neschopnost likviduje.</w:t>
      </w:r>
    </w:p>
    <w:p w:rsidR="00C8069D" w:rsidRPr="00C8069D" w:rsidRDefault="00C8069D" w:rsidP="00316855">
      <w:pPr>
        <w:rPr>
          <w:b/>
          <w:iCs/>
        </w:rPr>
      </w:pPr>
    </w:p>
    <w:p w:rsidR="0074246D" w:rsidRDefault="0074246D" w:rsidP="006A3993">
      <w:pPr>
        <w:pStyle w:val="Nadpis2"/>
      </w:pPr>
      <w:bookmarkStart w:id="58" w:name="_Toc376422262"/>
      <w:r>
        <w:lastRenderedPageBreak/>
        <w:t>Z hlediska Heliosu Orange</w:t>
      </w:r>
      <w:bookmarkEnd w:id="58"/>
    </w:p>
    <w:p w:rsidR="0074246D" w:rsidRDefault="002471EE" w:rsidP="00D26D22">
      <w:pPr>
        <w:pStyle w:val="Nadpis3"/>
      </w:pPr>
      <w:bookmarkStart w:id="59" w:name="_Toc376422263"/>
      <w:r>
        <w:t>4.5</w:t>
      </w:r>
      <w:r w:rsidR="009A7110">
        <w:t xml:space="preserve">.3. </w:t>
      </w:r>
      <w:r w:rsidR="0075414C">
        <w:t>Konstanty</w:t>
      </w:r>
      <w:r w:rsidR="0074246D">
        <w:t xml:space="preserve"> týkající se výpočtu náhrad</w:t>
      </w:r>
      <w:bookmarkEnd w:id="59"/>
    </w:p>
    <w:p w:rsidR="0074246D" w:rsidRDefault="0074246D" w:rsidP="0074246D">
      <w:r>
        <w:t>V nabídce Konstanty a číselníky, n</w:t>
      </w:r>
      <w:r w:rsidRPr="000F552A">
        <w:t>a záložce</w:t>
      </w:r>
      <w:r w:rsidR="00142CF7">
        <w:t xml:space="preserve"> </w:t>
      </w:r>
      <w:r>
        <w:t xml:space="preserve">DNP a pojištění, </w:t>
      </w:r>
      <w:r w:rsidR="00142CF7">
        <w:t>sekce Náhrady za pracovní neschopnost se nacházejí jednotlivé hranice pro typy náhrad za pracovní neschopnost.</w:t>
      </w:r>
    </w:p>
    <w:p w:rsidR="0074246D" w:rsidRDefault="0074246D" w:rsidP="0074246D">
      <w:r>
        <w:t>Pro nemoci jsou uvedena vždy dvě pásma:</w:t>
      </w:r>
    </w:p>
    <w:p w:rsidR="0074246D" w:rsidRDefault="00A86C39" w:rsidP="00A86C39">
      <w:pPr>
        <w:numPr>
          <w:ilvl w:val="0"/>
          <w:numId w:val="26"/>
        </w:numPr>
      </w:pPr>
      <w:r>
        <w:rPr>
          <w:b/>
        </w:rPr>
        <w:t xml:space="preserve">Pásmo </w:t>
      </w:r>
      <w:r w:rsidR="0074246D" w:rsidRPr="00A86C39">
        <w:rPr>
          <w:b/>
        </w:rPr>
        <w:t>1</w:t>
      </w:r>
      <w:r>
        <w:t xml:space="preserve"> – </w:t>
      </w:r>
      <w:r w:rsidR="0074246D">
        <w:t xml:space="preserve">jedná se o pásmo, kde jsou načítány </w:t>
      </w:r>
      <w:r w:rsidR="0074246D" w:rsidRPr="00A86C39">
        <w:rPr>
          <w:b/>
        </w:rPr>
        <w:t>první tři pracovní dny</w:t>
      </w:r>
      <w:r w:rsidR="0074246D">
        <w:t xml:space="preserve"> </w:t>
      </w:r>
    </w:p>
    <w:p w:rsidR="0074246D" w:rsidRDefault="0074246D" w:rsidP="00EC1275">
      <w:pPr>
        <w:numPr>
          <w:ilvl w:val="0"/>
          <w:numId w:val="26"/>
        </w:numPr>
      </w:pPr>
      <w:r>
        <w:rPr>
          <w:b/>
        </w:rPr>
        <w:t>Pásmo 2</w:t>
      </w:r>
      <w:r>
        <w:t xml:space="preserve"> – jedná se o pásmo, kde jsou načítány dny </w:t>
      </w:r>
      <w:r w:rsidRPr="007551BE">
        <w:rPr>
          <w:b/>
        </w:rPr>
        <w:t>od čtvrtého pracovního</w:t>
      </w:r>
      <w:r>
        <w:t xml:space="preserve"> </w:t>
      </w:r>
      <w:r w:rsidRPr="007551BE">
        <w:rPr>
          <w:b/>
        </w:rPr>
        <w:t>dne</w:t>
      </w:r>
    </w:p>
    <w:p w:rsidR="001D1CA9" w:rsidRDefault="001D1CA9">
      <w:pPr>
        <w:widowControl/>
        <w:adjustRightInd/>
        <w:spacing w:line="240" w:lineRule="auto"/>
        <w:jc w:val="left"/>
        <w:textAlignment w:val="auto"/>
        <w:rPr>
          <w:rStyle w:val="PromnnHTML"/>
          <w:rFonts w:cs="Arial"/>
          <w:b/>
          <w:bCs/>
          <w:caps/>
          <w:kern w:val="32"/>
          <w:sz w:val="32"/>
          <w:szCs w:val="32"/>
        </w:rPr>
      </w:pPr>
      <w:r>
        <w:rPr>
          <w:rStyle w:val="PromnnHTML"/>
        </w:rPr>
        <w:br w:type="page"/>
      </w:r>
    </w:p>
    <w:p w:rsidR="0074246D" w:rsidRDefault="004A29B6" w:rsidP="0074246D">
      <w:pPr>
        <w:pStyle w:val="Nadpis1"/>
        <w:numPr>
          <w:ilvl w:val="0"/>
          <w:numId w:val="1"/>
        </w:numPr>
        <w:rPr>
          <w:rStyle w:val="PromnnHTML"/>
        </w:rPr>
      </w:pPr>
      <w:bookmarkStart w:id="60" w:name="_Toc376422264"/>
      <w:r>
        <w:rPr>
          <w:rStyle w:val="PromnnHTML"/>
        </w:rPr>
        <w:lastRenderedPageBreak/>
        <w:t>Z</w:t>
      </w:r>
      <w:r w:rsidR="0074246D">
        <w:rPr>
          <w:rStyle w:val="PromnnHTML"/>
        </w:rPr>
        <w:t xml:space="preserve">dravotní pojištění od roku </w:t>
      </w:r>
      <w:r w:rsidR="00C345B2">
        <w:rPr>
          <w:rStyle w:val="PromnnHTML"/>
        </w:rPr>
        <w:t>2014</w:t>
      </w:r>
      <w:bookmarkEnd w:id="60"/>
    </w:p>
    <w:p w:rsidR="00E74954" w:rsidRPr="00E74954" w:rsidRDefault="00E74954" w:rsidP="0075414C">
      <w:pPr>
        <w:ind w:left="720"/>
        <w:rPr>
          <w:b/>
          <w:iCs/>
        </w:rPr>
      </w:pPr>
      <w:r w:rsidRPr="00E74954">
        <w:rPr>
          <w:b/>
          <w:iCs/>
        </w:rPr>
        <w:t>Zákon č. 592/1992 Sb.</w:t>
      </w:r>
    </w:p>
    <w:p w:rsidR="004A29B6" w:rsidRDefault="004A29B6" w:rsidP="004A29B6">
      <w:pPr>
        <w:pStyle w:val="Nadpis2"/>
        <w:numPr>
          <w:ilvl w:val="1"/>
          <w:numId w:val="1"/>
        </w:numPr>
      </w:pPr>
      <w:bookmarkStart w:id="61" w:name="_Toc376422265"/>
      <w:r>
        <w:t>Odvod pojistného</w:t>
      </w:r>
      <w:bookmarkEnd w:id="61"/>
    </w:p>
    <w:p w:rsidR="004A29B6" w:rsidRPr="00DD09D0" w:rsidRDefault="00DD09D0" w:rsidP="004A29B6">
      <w:pPr>
        <w:rPr>
          <w:rStyle w:val="PromnnHTML"/>
        </w:rPr>
      </w:pPr>
      <w:r w:rsidRPr="00DD09D0">
        <w:rPr>
          <w:rStyle w:val="PromnnHTML"/>
        </w:rPr>
        <w:t>Sazby na odvod zdravotního pojištění zůstávají zachovány</w:t>
      </w:r>
    </w:p>
    <w:p w:rsidR="00DD09D0" w:rsidRPr="00172331" w:rsidRDefault="00DD09D0" w:rsidP="004A29B6"/>
    <w:tbl>
      <w:tblPr>
        <w:tblW w:w="323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36"/>
        <w:gridCol w:w="1600"/>
      </w:tblGrid>
      <w:tr w:rsidR="004A29B6" w:rsidRPr="00172331">
        <w:trPr>
          <w:trHeight w:val="300"/>
        </w:trPr>
        <w:tc>
          <w:tcPr>
            <w:tcW w:w="1636" w:type="dxa"/>
            <w:shd w:val="clear" w:color="auto" w:fill="auto"/>
            <w:noWrap/>
            <w:vAlign w:val="bottom"/>
          </w:tcPr>
          <w:p w:rsidR="004A29B6" w:rsidRPr="005A50D9" w:rsidRDefault="004A29B6" w:rsidP="00566BC5">
            <w:pPr>
              <w:widowControl/>
              <w:adjustRightInd/>
              <w:spacing w:line="240" w:lineRule="auto"/>
              <w:jc w:val="left"/>
              <w:textAlignment w:val="auto"/>
              <w:rPr>
                <w:b/>
                <w:bCs/>
                <w:color w:val="000000"/>
                <w:szCs w:val="20"/>
              </w:rPr>
            </w:pPr>
            <w:r w:rsidRPr="005A50D9">
              <w:rPr>
                <w:b/>
                <w:bCs/>
                <w:color w:val="000000"/>
                <w:szCs w:val="20"/>
              </w:rPr>
              <w:t>Zaměstnanec</w:t>
            </w:r>
          </w:p>
        </w:tc>
        <w:tc>
          <w:tcPr>
            <w:tcW w:w="1600" w:type="dxa"/>
            <w:shd w:val="clear" w:color="auto" w:fill="auto"/>
            <w:noWrap/>
            <w:vAlign w:val="bottom"/>
          </w:tcPr>
          <w:p w:rsidR="004A29B6" w:rsidRPr="005A50D9" w:rsidRDefault="004A29B6" w:rsidP="00566BC5">
            <w:pPr>
              <w:widowControl/>
              <w:adjustRightInd/>
              <w:spacing w:line="240" w:lineRule="auto"/>
              <w:jc w:val="left"/>
              <w:textAlignment w:val="auto"/>
              <w:rPr>
                <w:b/>
                <w:bCs/>
                <w:color w:val="000000"/>
                <w:szCs w:val="20"/>
              </w:rPr>
            </w:pPr>
            <w:r w:rsidRPr="005A50D9">
              <w:rPr>
                <w:b/>
                <w:bCs/>
                <w:color w:val="000000"/>
                <w:szCs w:val="20"/>
              </w:rPr>
              <w:t>Firma</w:t>
            </w:r>
          </w:p>
        </w:tc>
      </w:tr>
      <w:tr w:rsidR="004A29B6" w:rsidRPr="00172331">
        <w:trPr>
          <w:trHeight w:val="300"/>
        </w:trPr>
        <w:tc>
          <w:tcPr>
            <w:tcW w:w="1636" w:type="dxa"/>
            <w:shd w:val="clear" w:color="auto" w:fill="auto"/>
            <w:noWrap/>
            <w:vAlign w:val="bottom"/>
          </w:tcPr>
          <w:p w:rsidR="004A29B6" w:rsidRPr="005A50D9" w:rsidRDefault="004A29B6" w:rsidP="00566BC5">
            <w:pPr>
              <w:widowControl/>
              <w:adjustRightInd/>
              <w:spacing w:line="240" w:lineRule="auto"/>
              <w:jc w:val="right"/>
              <w:textAlignment w:val="auto"/>
              <w:rPr>
                <w:color w:val="000000"/>
                <w:szCs w:val="20"/>
              </w:rPr>
            </w:pPr>
            <w:r>
              <w:rPr>
                <w:color w:val="000000"/>
                <w:szCs w:val="20"/>
              </w:rPr>
              <w:t>4,5 %</w:t>
            </w:r>
          </w:p>
        </w:tc>
        <w:tc>
          <w:tcPr>
            <w:tcW w:w="1600" w:type="dxa"/>
            <w:shd w:val="clear" w:color="auto" w:fill="auto"/>
            <w:noWrap/>
            <w:vAlign w:val="bottom"/>
          </w:tcPr>
          <w:p w:rsidR="004A29B6" w:rsidRPr="005A50D9" w:rsidRDefault="004A29B6" w:rsidP="00566BC5">
            <w:pPr>
              <w:widowControl/>
              <w:adjustRightInd/>
              <w:spacing w:line="240" w:lineRule="auto"/>
              <w:jc w:val="right"/>
              <w:textAlignment w:val="auto"/>
              <w:rPr>
                <w:color w:val="000000"/>
                <w:szCs w:val="20"/>
              </w:rPr>
            </w:pPr>
            <w:r>
              <w:rPr>
                <w:color w:val="000000"/>
                <w:szCs w:val="20"/>
              </w:rPr>
              <w:t>9 %</w:t>
            </w:r>
          </w:p>
        </w:tc>
      </w:tr>
    </w:tbl>
    <w:p w:rsidR="00E74954" w:rsidRDefault="006800AC" w:rsidP="006A3993">
      <w:pPr>
        <w:pStyle w:val="Nadpis2"/>
      </w:pPr>
      <w:bookmarkStart w:id="62" w:name="_Toc376422266"/>
      <w:r>
        <w:t>Maximální vyměřovací základ</w:t>
      </w:r>
      <w:bookmarkEnd w:id="62"/>
    </w:p>
    <w:p w:rsidR="00E74954" w:rsidRDefault="00E74954" w:rsidP="006800AC">
      <w:pPr>
        <w:rPr>
          <w:iCs/>
        </w:rPr>
      </w:pPr>
      <w:r w:rsidRPr="00E74954">
        <w:rPr>
          <w:b/>
          <w:iCs/>
        </w:rPr>
        <w:t>M</w:t>
      </w:r>
      <w:r w:rsidR="00823407">
        <w:rPr>
          <w:b/>
          <w:iCs/>
        </w:rPr>
        <w:t xml:space="preserve">ax. vyměřovací základ </w:t>
      </w:r>
      <w:r w:rsidR="001B08A6">
        <w:rPr>
          <w:b/>
          <w:iCs/>
        </w:rPr>
        <w:t xml:space="preserve">je od roku </w:t>
      </w:r>
      <w:r w:rsidR="00C345B2">
        <w:rPr>
          <w:b/>
          <w:iCs/>
        </w:rPr>
        <w:t>201</w:t>
      </w:r>
      <w:r w:rsidR="00F56861">
        <w:rPr>
          <w:b/>
          <w:iCs/>
        </w:rPr>
        <w:t>3</w:t>
      </w:r>
      <w:r w:rsidR="001B08A6">
        <w:rPr>
          <w:b/>
          <w:iCs/>
        </w:rPr>
        <w:t xml:space="preserve"> zrušen.</w:t>
      </w:r>
    </w:p>
    <w:p w:rsidR="006800AC" w:rsidRPr="00E74954" w:rsidRDefault="006800AC" w:rsidP="006A3993">
      <w:pPr>
        <w:pStyle w:val="Nadpis2"/>
      </w:pPr>
      <w:bookmarkStart w:id="63" w:name="_Toc376422267"/>
      <w:r>
        <w:t>Plátce pojištění stát</w:t>
      </w:r>
      <w:bookmarkEnd w:id="63"/>
    </w:p>
    <w:p w:rsidR="00E74954" w:rsidRDefault="00E74954" w:rsidP="006800AC">
      <w:pPr>
        <w:rPr>
          <w:rStyle w:val="PromnnHTML"/>
          <w:b/>
        </w:rPr>
      </w:pPr>
      <w:r>
        <w:rPr>
          <w:rStyle w:val="PromnnHTML"/>
        </w:rPr>
        <w:t xml:space="preserve">Částka, která je limitní pro odvod zdravotního pojištění zaměstnanců firem, které zaměstnávají více, než 50 % invalidních občanů bude pro rok </w:t>
      </w:r>
      <w:r w:rsidR="00C345B2">
        <w:rPr>
          <w:rStyle w:val="PromnnHTML"/>
        </w:rPr>
        <w:t>2014</w:t>
      </w:r>
      <w:r>
        <w:rPr>
          <w:rStyle w:val="PromnnHTML"/>
        </w:rPr>
        <w:t xml:space="preserve">  </w:t>
      </w:r>
      <w:r>
        <w:rPr>
          <w:rStyle w:val="PromnnHTML"/>
          <w:b/>
        </w:rPr>
        <w:t>5 </w:t>
      </w:r>
      <w:r w:rsidR="0060416B">
        <w:rPr>
          <w:rStyle w:val="PromnnHTML"/>
          <w:b/>
        </w:rPr>
        <w:t>829</w:t>
      </w:r>
      <w:r>
        <w:rPr>
          <w:rStyle w:val="PromnnHTML"/>
          <w:b/>
        </w:rPr>
        <w:t xml:space="preserve"> Kč </w:t>
      </w:r>
      <w:r>
        <w:rPr>
          <w:rStyle w:val="PromnnHTML"/>
        </w:rPr>
        <w:t>(</w:t>
      </w:r>
      <w:r w:rsidR="0012583B">
        <w:rPr>
          <w:rStyle w:val="PromnnHTML"/>
        </w:rPr>
        <w:t>§</w:t>
      </w:r>
      <w:r>
        <w:rPr>
          <w:rStyle w:val="PromnnHTML"/>
        </w:rPr>
        <w:t>3c)</w:t>
      </w:r>
      <w:r w:rsidR="0060416B">
        <w:rPr>
          <w:rStyle w:val="PromnnHTML"/>
        </w:rPr>
        <w:t xml:space="preserve"> respektive byla zvýšena už v roce 2013 a to od listopadu.</w:t>
      </w:r>
    </w:p>
    <w:p w:rsidR="00D6041E" w:rsidRDefault="00D6041E" w:rsidP="0074246D">
      <w:pPr>
        <w:rPr>
          <w:rStyle w:val="PromnnHTML"/>
          <w:b/>
        </w:rPr>
      </w:pPr>
    </w:p>
    <w:p w:rsidR="001D1CA9" w:rsidRDefault="001D1CA9" w:rsidP="006A3993">
      <w:pPr>
        <w:pStyle w:val="Nadpis2"/>
      </w:pPr>
      <w:bookmarkStart w:id="64" w:name="_Toc376422268"/>
      <w:r>
        <w:t>Zaměstnání malého rozsahu</w:t>
      </w:r>
      <w:bookmarkEnd w:id="64"/>
    </w:p>
    <w:p w:rsidR="001D1CA9" w:rsidRPr="001D1CA9" w:rsidRDefault="001D1CA9" w:rsidP="001D1CA9">
      <w:pPr>
        <w:rPr>
          <w:b/>
        </w:rPr>
      </w:pPr>
      <w:r w:rsidRPr="001D1CA9">
        <w:rPr>
          <w:b/>
        </w:rPr>
        <w:t>Zákon o zdravotním pojištění nezná pojem malý rozsah</w:t>
      </w:r>
      <w:r>
        <w:rPr>
          <w:b/>
        </w:rPr>
        <w:t>,</w:t>
      </w:r>
      <w:r w:rsidRPr="001D1CA9">
        <w:rPr>
          <w:b/>
        </w:rPr>
        <w:t xml:space="preserve"> obsahuje pouze právní úpravy týkající se: </w:t>
      </w:r>
    </w:p>
    <w:p w:rsidR="001D1CA9" w:rsidRDefault="001D1CA9" w:rsidP="001D1CA9"/>
    <w:p w:rsidR="001D1CA9" w:rsidRPr="001D1CA9" w:rsidRDefault="001D1CA9" w:rsidP="001D1CA9">
      <w:pPr>
        <w:rPr>
          <w:b/>
        </w:rPr>
      </w:pPr>
      <w:r w:rsidRPr="001D1CA9">
        <w:rPr>
          <w:b/>
        </w:rPr>
        <w:t>a) osob pracujících na základě dohody o pracovní činnosti</w:t>
      </w:r>
    </w:p>
    <w:p w:rsidR="001D1CA9" w:rsidRDefault="001D1CA9" w:rsidP="001D1CA9">
      <w:r>
        <w:t xml:space="preserve">Pokud příjem na základě dohody o pracovní činnosti nedosáhne v rozhodném období kalendářního měsíce částky 2 500 Kč, nepovažuje se osoba ve zdravotním pojištění za zaměstnance. Zaměstnavatel takovou osobu u zdravotní pojišťovny nepřihlašuje, a je-li jako zaměstnanec přihlášena, musí ji na příslušný kalendářní měsíc odhlásit. Pro posouzení této situace (vzniku zaměstnání) není důležité, zda osoba pracovala po celý kalendářní měsíc, nebo jen po jeho část, rozhoduje výhradně zúčtovaná výše příjmu za rozhodné období kalendářního měsíce. </w:t>
      </w:r>
      <w:r w:rsidRPr="001D1CA9">
        <w:rPr>
          <w:b/>
        </w:rPr>
        <w:t>Současně platí, že příjmy na základě dohody o pracovní činnosti do 2 500 Kč se ve zdravotním pojištění pro účely vzniku zaměstnání nesčítají, ať už se jedná o dohody u jednoho zaměstnavatele nebo u více zaměstnavatelů.</w:t>
      </w:r>
      <w:r>
        <w:t xml:space="preserve"> Ve zdravotním pojištění </w:t>
      </w:r>
      <w:r>
        <w:lastRenderedPageBreak/>
        <w:t xml:space="preserve">není právní opora pro sčítání takových příjmů. </w:t>
      </w:r>
    </w:p>
    <w:p w:rsidR="001D1CA9" w:rsidRDefault="001D1CA9" w:rsidP="001D1CA9"/>
    <w:p w:rsidR="001D1CA9" w:rsidRPr="001D1CA9" w:rsidRDefault="001D1CA9" w:rsidP="001D1CA9">
      <w:pPr>
        <w:rPr>
          <w:b/>
        </w:rPr>
      </w:pPr>
      <w:r w:rsidRPr="001D1CA9">
        <w:rPr>
          <w:b/>
        </w:rPr>
        <w:t>b) členů družstev ve smyslu ustanovení § 5 písm. b) bodu 4 z. č. 48/1997 Sb.</w:t>
      </w:r>
    </w:p>
    <w:p w:rsidR="001D1CA9" w:rsidRDefault="001D1CA9" w:rsidP="001D1CA9">
      <w:r>
        <w:t xml:space="preserve">V roce 2014 se ve zdravotním pojištění za zaměstnance nepovažuje člen družstva, který není v pracovněprávním vztahu k družstvu, ale vykonává pro družstvo práci, za kterou je jím odměňován, a nedosáhl v příslušném kalendářním měsíci započitatelného příjmu 2 500 Kč. V této souvislosti platí, že i výkon funkce v orgánu družstva se vždy považuje za výkon práce pro družstvo, proto z příjmu funkcionáře družstva za vykonanou práci (není-li tento v pracovněprávním vztahu k družstvu) se pojistné odvádí pouze ze zúčtovaného příjmu v částce 2 500 Kč a vyšší. </w:t>
      </w:r>
    </w:p>
    <w:p w:rsidR="001D1CA9" w:rsidRDefault="001D1CA9" w:rsidP="001D1CA9"/>
    <w:p w:rsidR="001D1CA9" w:rsidRPr="001D1CA9" w:rsidRDefault="001D1CA9" w:rsidP="001D1CA9">
      <w:pPr>
        <w:rPr>
          <w:b/>
        </w:rPr>
      </w:pPr>
      <w:r w:rsidRPr="001D1CA9">
        <w:rPr>
          <w:b/>
        </w:rPr>
        <w:t>c) dobrovolných pracovníků pečovatelské služby</w:t>
      </w:r>
    </w:p>
    <w:p w:rsidR="001D1CA9" w:rsidRDefault="001D1CA9" w:rsidP="001D1CA9">
      <w:r>
        <w:t xml:space="preserve">Jedná se o nepříliš početnou skupinu osob – zaměstnanců, u kterých je taktéž rozhodnou částkou 2 500 Kč. </w:t>
      </w:r>
    </w:p>
    <w:p w:rsidR="001D1CA9" w:rsidRPr="001D1CA9" w:rsidRDefault="001D1CA9" w:rsidP="001D1CA9"/>
    <w:p w:rsidR="00536A16" w:rsidRPr="00430E86" w:rsidRDefault="00536A16" w:rsidP="006A3993">
      <w:pPr>
        <w:pStyle w:val="Nadpis2"/>
      </w:pPr>
      <w:bookmarkStart w:id="65" w:name="_Toc376422269"/>
      <w:r w:rsidRPr="00430E86">
        <w:t>Z hlediska programu Helios Orange</w:t>
      </w:r>
      <w:bookmarkEnd w:id="65"/>
    </w:p>
    <w:p w:rsidR="00536A16" w:rsidRDefault="00536A16" w:rsidP="00536A16">
      <w:pPr>
        <w:rPr>
          <w:b/>
        </w:rPr>
      </w:pPr>
      <w:r>
        <w:t xml:space="preserve">Konstanty a číselníky, DNP a pojištění, </w:t>
      </w:r>
      <w:r w:rsidR="00820360">
        <w:t>sekce Zdravotní p</w:t>
      </w:r>
      <w:r>
        <w:t>ojištění</w:t>
      </w:r>
      <w:r w:rsidR="00820360">
        <w:rPr>
          <w:b/>
        </w:rPr>
        <w:t>.</w:t>
      </w:r>
    </w:p>
    <w:p w:rsidR="00725195" w:rsidRDefault="00725195" w:rsidP="0074246D">
      <w:pPr>
        <w:rPr>
          <w:rStyle w:val="PromnnHTML"/>
          <w:b/>
        </w:rPr>
      </w:pPr>
    </w:p>
    <w:p w:rsidR="0012583B" w:rsidRDefault="0012583B" w:rsidP="0060416B">
      <w:pPr>
        <w:jc w:val="center"/>
        <w:rPr>
          <w:rStyle w:val="PromnnHTML"/>
          <w:b/>
        </w:rPr>
      </w:pPr>
    </w:p>
    <w:p w:rsidR="0012583B" w:rsidRDefault="0012583B" w:rsidP="0074246D">
      <w:pPr>
        <w:rPr>
          <w:rStyle w:val="PromnnHTML"/>
          <w:b/>
        </w:rPr>
      </w:pPr>
    </w:p>
    <w:p w:rsidR="006E643D" w:rsidRDefault="006E643D">
      <w:pPr>
        <w:widowControl/>
        <w:adjustRightInd/>
        <w:spacing w:line="240" w:lineRule="auto"/>
        <w:jc w:val="left"/>
        <w:textAlignment w:val="auto"/>
        <w:rPr>
          <w:rStyle w:val="PromnnHTML"/>
          <w:rFonts w:cs="Arial"/>
          <w:b/>
          <w:bCs/>
          <w:caps/>
          <w:kern w:val="32"/>
          <w:sz w:val="32"/>
          <w:szCs w:val="32"/>
        </w:rPr>
      </w:pPr>
      <w:r>
        <w:rPr>
          <w:rStyle w:val="PromnnHTML"/>
        </w:rPr>
        <w:br w:type="page"/>
      </w:r>
    </w:p>
    <w:p w:rsidR="0074246D" w:rsidRDefault="0074246D" w:rsidP="0074246D">
      <w:pPr>
        <w:pStyle w:val="Nadpis1"/>
        <w:numPr>
          <w:ilvl w:val="0"/>
          <w:numId w:val="1"/>
        </w:numPr>
        <w:rPr>
          <w:rStyle w:val="PromnnHTML"/>
        </w:rPr>
      </w:pPr>
      <w:bookmarkStart w:id="66" w:name="_Toc376422270"/>
      <w:r>
        <w:rPr>
          <w:rStyle w:val="PromnnHTML"/>
        </w:rPr>
        <w:lastRenderedPageBreak/>
        <w:t>Daně</w:t>
      </w:r>
      <w:r w:rsidR="00F31AE7">
        <w:rPr>
          <w:rStyle w:val="PromnnHTML"/>
        </w:rPr>
        <w:t xml:space="preserve"> od roku </w:t>
      </w:r>
      <w:r w:rsidR="00C345B2">
        <w:rPr>
          <w:rStyle w:val="PromnnHTML"/>
        </w:rPr>
        <w:t>2014</w:t>
      </w:r>
      <w:bookmarkEnd w:id="66"/>
    </w:p>
    <w:p w:rsidR="00285B69" w:rsidRPr="00FD4B3E" w:rsidRDefault="00FD4B3E" w:rsidP="00FD4B3E">
      <w:pPr>
        <w:ind w:left="720"/>
        <w:rPr>
          <w:b/>
          <w:iCs/>
        </w:rPr>
      </w:pPr>
      <w:r w:rsidRPr="00FD4B3E">
        <w:rPr>
          <w:b/>
          <w:iCs/>
        </w:rPr>
        <w:t>Zákon</w:t>
      </w:r>
      <w:r>
        <w:rPr>
          <w:b/>
          <w:iCs/>
        </w:rPr>
        <w:t xml:space="preserve"> č.</w:t>
      </w:r>
      <w:r w:rsidR="00285B69" w:rsidRPr="00FD4B3E">
        <w:rPr>
          <w:b/>
          <w:iCs/>
        </w:rPr>
        <w:t xml:space="preserve"> 586/1992 Sb.</w:t>
      </w:r>
      <w:r w:rsidR="00430E86">
        <w:rPr>
          <w:b/>
          <w:iCs/>
        </w:rPr>
        <w:t xml:space="preserve"> </w:t>
      </w:r>
    </w:p>
    <w:p w:rsidR="00031FCB" w:rsidRPr="00285B69" w:rsidRDefault="00031FCB" w:rsidP="006A3993">
      <w:pPr>
        <w:pStyle w:val="Nadpis2"/>
      </w:pPr>
      <w:bookmarkStart w:id="67" w:name="_Toc376422271"/>
      <w:r>
        <w:t>Sazba daně</w:t>
      </w:r>
      <w:bookmarkEnd w:id="67"/>
    </w:p>
    <w:p w:rsidR="00285B69" w:rsidRDefault="00FD4B3E" w:rsidP="00285B69">
      <w:pPr>
        <w:rPr>
          <w:rFonts w:cs="Arial"/>
          <w:bCs/>
          <w:szCs w:val="20"/>
        </w:rPr>
      </w:pPr>
      <w:r>
        <w:rPr>
          <w:rFonts w:cs="Arial"/>
          <w:bCs/>
          <w:szCs w:val="20"/>
        </w:rPr>
        <w:t xml:space="preserve">Sazba daně zůstává na </w:t>
      </w:r>
      <w:r w:rsidR="002E1DB8">
        <w:rPr>
          <w:rFonts w:cs="Arial"/>
          <w:bCs/>
          <w:szCs w:val="20"/>
        </w:rPr>
        <w:t>15 % -  §</w:t>
      </w:r>
      <w:r w:rsidR="00285B69" w:rsidRPr="00285B69">
        <w:rPr>
          <w:rFonts w:cs="Arial"/>
          <w:bCs/>
          <w:szCs w:val="20"/>
        </w:rPr>
        <w:t>16</w:t>
      </w:r>
      <w:r w:rsidR="001036F1">
        <w:rPr>
          <w:rFonts w:cs="Arial"/>
          <w:bCs/>
          <w:szCs w:val="20"/>
        </w:rPr>
        <w:t>.</w:t>
      </w:r>
    </w:p>
    <w:p w:rsidR="00457F36" w:rsidRPr="00285B69" w:rsidRDefault="00FD4B3E" w:rsidP="006A3993">
      <w:pPr>
        <w:pStyle w:val="Nadpis2"/>
      </w:pPr>
      <w:bookmarkStart w:id="68" w:name="_Toc376422272"/>
      <w:r>
        <w:t>Sleva na dani</w:t>
      </w:r>
      <w:r w:rsidR="00317760">
        <w:t xml:space="preserve"> a daňové zvýhodnění</w:t>
      </w:r>
      <w:bookmarkEnd w:id="68"/>
    </w:p>
    <w:p w:rsidR="00EC31B5" w:rsidRPr="00EC31B5" w:rsidRDefault="00EC31B5" w:rsidP="00EC31B5">
      <w:pPr>
        <w:rPr>
          <w:rFonts w:cs="Arial"/>
          <w:bCs/>
          <w:szCs w:val="20"/>
        </w:rPr>
      </w:pPr>
      <w:r>
        <w:rPr>
          <w:rFonts w:cs="Arial"/>
          <w:bCs/>
          <w:szCs w:val="20"/>
        </w:rPr>
        <w:t xml:space="preserve">Sleva na </w:t>
      </w:r>
      <w:r w:rsidRPr="00EC31B5">
        <w:rPr>
          <w:rFonts w:cs="Arial"/>
          <w:bCs/>
          <w:szCs w:val="20"/>
        </w:rPr>
        <w:t>pop</w:t>
      </w:r>
      <w:r>
        <w:rPr>
          <w:rFonts w:cs="Arial"/>
          <w:bCs/>
          <w:szCs w:val="20"/>
        </w:rPr>
        <w:t xml:space="preserve">latníka má hodnotu </w:t>
      </w:r>
      <w:r w:rsidRPr="0012583B">
        <w:rPr>
          <w:rFonts w:cs="Arial"/>
          <w:b/>
          <w:bCs/>
          <w:szCs w:val="20"/>
        </w:rPr>
        <w:t>24 840 Kč</w:t>
      </w:r>
      <w:r w:rsidRPr="00EC31B5">
        <w:rPr>
          <w:rFonts w:cs="Arial"/>
          <w:bCs/>
          <w:szCs w:val="20"/>
        </w:rPr>
        <w:t xml:space="preserve"> ročně, resp. </w:t>
      </w:r>
      <w:r w:rsidRPr="00EC31B5">
        <w:rPr>
          <w:rFonts w:cs="Arial"/>
          <w:b/>
          <w:bCs/>
          <w:szCs w:val="20"/>
        </w:rPr>
        <w:t>2 070 Kč</w:t>
      </w:r>
      <w:r w:rsidRPr="00EC31B5">
        <w:rPr>
          <w:rFonts w:cs="Arial"/>
          <w:bCs/>
          <w:szCs w:val="20"/>
        </w:rPr>
        <w:t xml:space="preserve"> měsíčně</w:t>
      </w:r>
      <w:r>
        <w:rPr>
          <w:rFonts w:cs="Arial"/>
          <w:bCs/>
          <w:szCs w:val="20"/>
        </w:rPr>
        <w:t>.</w:t>
      </w:r>
    </w:p>
    <w:p w:rsidR="00EC31B5" w:rsidRPr="00EC31B5" w:rsidRDefault="00EC31B5" w:rsidP="00EC31B5">
      <w:pPr>
        <w:rPr>
          <w:rFonts w:cs="Arial"/>
          <w:bCs/>
          <w:szCs w:val="20"/>
        </w:rPr>
      </w:pPr>
      <w:r>
        <w:rPr>
          <w:rFonts w:cs="Arial"/>
          <w:bCs/>
          <w:szCs w:val="20"/>
        </w:rPr>
        <w:t xml:space="preserve">Daňové zvýhodnění </w:t>
      </w:r>
      <w:r w:rsidRPr="00EC31B5">
        <w:rPr>
          <w:rFonts w:cs="Arial"/>
          <w:bCs/>
          <w:szCs w:val="20"/>
        </w:rPr>
        <w:t xml:space="preserve">na dítě </w:t>
      </w:r>
      <w:r>
        <w:rPr>
          <w:rFonts w:cs="Arial"/>
          <w:bCs/>
          <w:szCs w:val="20"/>
        </w:rPr>
        <w:t xml:space="preserve">má hodnotu </w:t>
      </w:r>
      <w:r w:rsidRPr="00EC31B5">
        <w:rPr>
          <w:rFonts w:cs="Arial"/>
          <w:b/>
          <w:bCs/>
          <w:szCs w:val="20"/>
        </w:rPr>
        <w:t>13 404 Kč</w:t>
      </w:r>
      <w:r w:rsidRPr="00EC31B5">
        <w:rPr>
          <w:rFonts w:cs="Arial"/>
          <w:bCs/>
          <w:szCs w:val="20"/>
        </w:rPr>
        <w:t xml:space="preserve"> ročně, resp. </w:t>
      </w:r>
      <w:r w:rsidRPr="00EC31B5">
        <w:rPr>
          <w:rFonts w:cs="Arial"/>
          <w:b/>
          <w:bCs/>
          <w:szCs w:val="20"/>
        </w:rPr>
        <w:t>1 117 Kč</w:t>
      </w:r>
      <w:r w:rsidRPr="00EC31B5">
        <w:rPr>
          <w:rFonts w:cs="Arial"/>
          <w:bCs/>
          <w:szCs w:val="20"/>
        </w:rPr>
        <w:t xml:space="preserve"> měsíčně. </w:t>
      </w:r>
    </w:p>
    <w:p w:rsidR="00EC31B5" w:rsidRDefault="00EC31B5" w:rsidP="00EC31B5">
      <w:pPr>
        <w:rPr>
          <w:rFonts w:cs="Arial"/>
          <w:bCs/>
          <w:szCs w:val="20"/>
        </w:rPr>
      </w:pPr>
      <w:r w:rsidRPr="00EC31B5">
        <w:rPr>
          <w:rFonts w:cs="Arial"/>
          <w:bCs/>
          <w:szCs w:val="20"/>
        </w:rPr>
        <w:t xml:space="preserve">Maximální výše daňového bonusu je </w:t>
      </w:r>
      <w:r w:rsidRPr="00EC31B5">
        <w:rPr>
          <w:rFonts w:cs="Arial"/>
          <w:b/>
          <w:bCs/>
          <w:szCs w:val="20"/>
        </w:rPr>
        <w:t>60 300 Kč</w:t>
      </w:r>
      <w:r w:rsidRPr="00EC31B5">
        <w:rPr>
          <w:rFonts w:cs="Arial"/>
          <w:bCs/>
          <w:szCs w:val="20"/>
        </w:rPr>
        <w:t xml:space="preserve"> ročně, resp. </w:t>
      </w:r>
      <w:r w:rsidRPr="00EC31B5">
        <w:rPr>
          <w:rFonts w:cs="Arial"/>
          <w:b/>
          <w:bCs/>
          <w:szCs w:val="20"/>
        </w:rPr>
        <w:t>5 025 Kč</w:t>
      </w:r>
      <w:r w:rsidRPr="00EC31B5">
        <w:rPr>
          <w:rFonts w:cs="Arial"/>
          <w:bCs/>
          <w:szCs w:val="20"/>
        </w:rPr>
        <w:t xml:space="preserve"> měsíčně. </w:t>
      </w:r>
    </w:p>
    <w:p w:rsidR="00457F36" w:rsidRPr="00430E86" w:rsidRDefault="00457F36" w:rsidP="006A3993">
      <w:pPr>
        <w:pStyle w:val="Nadpis2"/>
        <w:numPr>
          <w:ilvl w:val="2"/>
          <w:numId w:val="8"/>
        </w:numPr>
      </w:pPr>
      <w:bookmarkStart w:id="69" w:name="_Toc376422273"/>
      <w:r w:rsidRPr="00430E86">
        <w:t>Z hlediska programu Helios Orange</w:t>
      </w:r>
      <w:bookmarkEnd w:id="69"/>
    </w:p>
    <w:p w:rsidR="00EC31B5" w:rsidRDefault="00EC31B5" w:rsidP="00285B69">
      <w:pPr>
        <w:rPr>
          <w:rFonts w:cs="Arial"/>
          <w:bCs/>
          <w:szCs w:val="20"/>
        </w:rPr>
      </w:pPr>
      <w:r>
        <w:rPr>
          <w:rFonts w:cs="Arial"/>
          <w:bCs/>
          <w:szCs w:val="20"/>
        </w:rPr>
        <w:t xml:space="preserve">Dále jsou aktualizovány Konstanty a číselníky, Daně, sekce Slevy a odpočty na platné hodnoty pro rok </w:t>
      </w:r>
      <w:r w:rsidR="00C345B2">
        <w:rPr>
          <w:rFonts w:cs="Arial"/>
          <w:bCs/>
          <w:szCs w:val="20"/>
        </w:rPr>
        <w:t>2014</w:t>
      </w:r>
      <w:r>
        <w:rPr>
          <w:rFonts w:cs="Arial"/>
          <w:bCs/>
          <w:szCs w:val="20"/>
        </w:rPr>
        <w:t>.</w:t>
      </w:r>
    </w:p>
    <w:p w:rsidR="000D6EEE" w:rsidRPr="000D6EEE" w:rsidRDefault="000D6EEE" w:rsidP="000D6EEE">
      <w:pPr>
        <w:pStyle w:val="Nadpis2"/>
      </w:pPr>
      <w:bookmarkStart w:id="70" w:name="_Toc376422274"/>
      <w:r w:rsidRPr="000D6EEE">
        <w:t>Srážková daň pouze u dohody o provedení práce</w:t>
      </w:r>
      <w:r w:rsidR="008A0755">
        <w:t xml:space="preserve"> a podepsané Prohlášení poplatníka</w:t>
      </w:r>
      <w:bookmarkEnd w:id="70"/>
    </w:p>
    <w:p w:rsidR="000D6EEE" w:rsidRDefault="000D6EEE" w:rsidP="000D6EEE">
      <w:r>
        <w:t>§ 6 odst. 4</w:t>
      </w:r>
    </w:p>
    <w:p w:rsidR="000D6EEE" w:rsidRDefault="000D6EEE" w:rsidP="000D6EEE">
      <w:r>
        <w:t xml:space="preserve">Příjmy zúčtované nebo vyplacené plátcem daně jsou samostatným základem daně pro zdanění daní vybíranou srážkou podle zvláštní sazby daně, jedná-li se o příjmy podle odstavce 1 plynoucí </w:t>
      </w:r>
      <w:r w:rsidRPr="000D6EEE">
        <w:rPr>
          <w:b/>
        </w:rPr>
        <w:t>na základě dohody o provedení práce</w:t>
      </w:r>
      <w:r>
        <w:t xml:space="preserve">, jejichž úhrnná výše u téhož plátce daně nepřesáhne za kalendářní měsíc částku </w:t>
      </w:r>
      <w:r w:rsidRPr="000D6EEE">
        <w:rPr>
          <w:b/>
        </w:rPr>
        <w:t>10 000 Kč</w:t>
      </w:r>
      <w:r>
        <w:t xml:space="preserve">, a zaměstnanec u tohoto plátce daně nepodepsal prohlášení k dani podle § 38k odstavce 4, 5 nebo 7 anebo nevyužije-li postup podle § 36 odst. 7. </w:t>
      </w:r>
    </w:p>
    <w:p w:rsidR="000D6EEE" w:rsidRPr="00430E86" w:rsidRDefault="000D6EEE" w:rsidP="000D6EEE">
      <w:pPr>
        <w:pStyle w:val="Nadpis2"/>
        <w:numPr>
          <w:ilvl w:val="2"/>
          <w:numId w:val="1"/>
        </w:numPr>
      </w:pPr>
      <w:bookmarkStart w:id="71" w:name="_Toc376422275"/>
      <w:r w:rsidRPr="00430E86">
        <w:t>Z hlediska programu Helios Orange</w:t>
      </w:r>
      <w:bookmarkEnd w:id="71"/>
    </w:p>
    <w:p w:rsidR="00253575" w:rsidRDefault="00253575" w:rsidP="00253575">
      <w:r>
        <w:t xml:space="preserve">Zvyšuje se limit pro uplatnění konečné srážkové daně u poplatníků, kteří nepodepsali u zaměstnavatele prohlášení k dani, a to z 5 000 Kč na 10 000 Kč měsíčně. </w:t>
      </w:r>
    </w:p>
    <w:p w:rsidR="00253575" w:rsidRDefault="00253575" w:rsidP="00253575"/>
    <w:p w:rsidR="00253575" w:rsidRDefault="00253575" w:rsidP="00253575">
      <w:r>
        <w:t>V nabídce Konstanty a číselníky, Mzdové konstanty, záložka DNP, sekce Speciální daňové sazby, došlo ke změnám ve speciální sazbě daně číslo 1 (Typ 1). Položka Hranice [Kč] byla upravena na 10 000 Kč.</w:t>
      </w:r>
    </w:p>
    <w:p w:rsidR="00253575" w:rsidRDefault="00253575" w:rsidP="00253575">
      <w:pPr>
        <w:jc w:val="center"/>
      </w:pPr>
      <w:r>
        <w:rPr>
          <w:noProof/>
        </w:rPr>
        <w:lastRenderedPageBreak/>
        <w:drawing>
          <wp:inline distT="0" distB="0" distL="0" distR="0" wp14:anchorId="069496E1" wp14:editId="2217452D">
            <wp:extent cx="5972810" cy="3855085"/>
            <wp:effectExtent l="0" t="0" r="889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72810" cy="3855085"/>
                    </a:xfrm>
                    <a:prstGeom prst="rect">
                      <a:avLst/>
                    </a:prstGeom>
                  </pic:spPr>
                </pic:pic>
              </a:graphicData>
            </a:graphic>
          </wp:inline>
        </w:drawing>
      </w:r>
    </w:p>
    <w:p w:rsidR="00253575" w:rsidRDefault="00253575" w:rsidP="000D6EEE"/>
    <w:p w:rsidR="000D6EEE" w:rsidRDefault="000D6EEE" w:rsidP="000D6EEE">
      <w:r>
        <w:t xml:space="preserve">V přehledu mzdových údajů je možné na záložce Odvody podzáložka Daně zvolit položku Typ daně, která je podle mzdových konstant nastavena na srážkovou daň, pouze v případě, že pracovní poměr </w:t>
      </w:r>
      <w:r w:rsidRPr="000D6EEE">
        <w:rPr>
          <w:b/>
        </w:rPr>
        <w:t>je dohoda o provedení práce</w:t>
      </w:r>
      <w:r>
        <w:t xml:space="preserve">. </w:t>
      </w:r>
    </w:p>
    <w:p w:rsidR="000D6EEE" w:rsidRDefault="000D6EEE" w:rsidP="000D6EEE"/>
    <w:p w:rsidR="000D6EEE" w:rsidRDefault="000D6EEE" w:rsidP="000D6EEE">
      <w:r>
        <w:t xml:space="preserve">Pokud existuje nesrovnalost, že pracovní poměr není dohoda o provedení práce a má nastaven v položce typ daně srážkovou daň, jste na situaci upozorněni během lednových výplat při vstupu do přehledu Mzdové údaje nebo při zadání první vypočítané mzdy v přehledu Výpočet mzdy. </w:t>
      </w:r>
      <w:r w:rsidR="00253575">
        <w:t>Současně existuje kontrola při zadání pracovního poměru v editoru mzdových údajů.</w:t>
      </w:r>
    </w:p>
    <w:p w:rsidR="00253575" w:rsidRDefault="00253575" w:rsidP="000D6EEE"/>
    <w:p w:rsidR="00253575" w:rsidRDefault="00253575" w:rsidP="00253575">
      <w:pPr>
        <w:jc w:val="center"/>
      </w:pPr>
      <w:r>
        <w:rPr>
          <w:noProof/>
        </w:rPr>
        <w:lastRenderedPageBreak/>
        <w:drawing>
          <wp:inline distT="0" distB="0" distL="0" distR="0" wp14:anchorId="51EB77BC" wp14:editId="515D5777">
            <wp:extent cx="3429000" cy="1381125"/>
            <wp:effectExtent l="0" t="0" r="0" b="952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3429000" cy="1381125"/>
                    </a:xfrm>
                    <a:prstGeom prst="rect">
                      <a:avLst/>
                    </a:prstGeom>
                  </pic:spPr>
                </pic:pic>
              </a:graphicData>
            </a:graphic>
          </wp:inline>
        </w:drawing>
      </w:r>
    </w:p>
    <w:p w:rsidR="000D6EEE" w:rsidRDefault="000D6EEE" w:rsidP="000D6EEE"/>
    <w:p w:rsidR="000D6EEE" w:rsidRPr="00A010BF" w:rsidRDefault="000D6EEE" w:rsidP="000D6EEE">
      <w:pPr>
        <w:rPr>
          <w:i/>
        </w:rPr>
      </w:pPr>
      <w:r w:rsidRPr="00A010BF">
        <w:rPr>
          <w:i/>
        </w:rPr>
        <w:t>Upozornění:</w:t>
      </w:r>
    </w:p>
    <w:p w:rsidR="00285B69" w:rsidRPr="00A010BF" w:rsidRDefault="000D6EEE" w:rsidP="00285B69">
      <w:pPr>
        <w:rPr>
          <w:i/>
        </w:rPr>
      </w:pPr>
      <w:r w:rsidRPr="00A010BF">
        <w:rPr>
          <w:i/>
        </w:rPr>
        <w:t xml:space="preserve">Při ukončení pracovního poměru zůstává nastaven typ daně stejný, nemění se na typ daně 1 (srážková daň). Smažou se však všechny slevy na dani a daňová zvýhodnění. </w:t>
      </w:r>
    </w:p>
    <w:p w:rsidR="00253575" w:rsidRDefault="00253575" w:rsidP="00285B69">
      <w:pPr>
        <w:rPr>
          <w:b/>
        </w:rPr>
      </w:pPr>
    </w:p>
    <w:p w:rsidR="00253575" w:rsidRPr="00253575" w:rsidRDefault="00253575" w:rsidP="00253575">
      <w:pPr>
        <w:rPr>
          <w:rFonts w:cs="Arial"/>
          <w:bCs/>
          <w:szCs w:val="20"/>
        </w:rPr>
      </w:pPr>
      <w:r w:rsidRPr="00253575">
        <w:rPr>
          <w:rFonts w:cs="Arial"/>
          <w:bCs/>
          <w:szCs w:val="20"/>
        </w:rPr>
        <w:t xml:space="preserve">V editoru mzdových údajů zaměstnance byla na záložce Odvody podzáložka Daně přidána položka </w:t>
      </w:r>
      <w:r w:rsidRPr="00253575">
        <w:rPr>
          <w:rFonts w:cs="Arial"/>
          <w:b/>
          <w:bCs/>
          <w:szCs w:val="20"/>
        </w:rPr>
        <w:t>Podepsané Prohlášení</w:t>
      </w:r>
      <w:r w:rsidRPr="00253575">
        <w:rPr>
          <w:rFonts w:cs="Arial"/>
          <w:bCs/>
          <w:szCs w:val="20"/>
        </w:rPr>
        <w:t xml:space="preserve">. V případě, že zaměstnanec </w:t>
      </w:r>
      <w:r>
        <w:rPr>
          <w:rFonts w:cs="Arial"/>
          <w:bCs/>
          <w:szCs w:val="20"/>
        </w:rPr>
        <w:t>„</w:t>
      </w:r>
      <w:r w:rsidRPr="00253575">
        <w:rPr>
          <w:rFonts w:cs="Arial"/>
          <w:bCs/>
          <w:szCs w:val="20"/>
        </w:rPr>
        <w:t>podepsal</w:t>
      </w:r>
      <w:r>
        <w:rPr>
          <w:rFonts w:cs="Arial"/>
          <w:bCs/>
          <w:szCs w:val="20"/>
        </w:rPr>
        <w:t>“</w:t>
      </w:r>
      <w:r w:rsidRPr="00253575">
        <w:rPr>
          <w:rFonts w:cs="Arial"/>
          <w:bCs/>
          <w:szCs w:val="20"/>
        </w:rPr>
        <w:t xml:space="preserve"> prohlášení poplatníka je nutné položku zatrhnout. </w:t>
      </w:r>
    </w:p>
    <w:p w:rsidR="00253575" w:rsidRPr="00253575" w:rsidRDefault="00253575" w:rsidP="00253575">
      <w:pPr>
        <w:rPr>
          <w:rFonts w:cs="Arial"/>
          <w:bCs/>
          <w:szCs w:val="20"/>
        </w:rPr>
      </w:pPr>
    </w:p>
    <w:p w:rsidR="00253575" w:rsidRPr="00253575" w:rsidRDefault="00253575" w:rsidP="00253575">
      <w:pPr>
        <w:rPr>
          <w:rFonts w:cs="Arial"/>
          <w:bCs/>
          <w:szCs w:val="20"/>
        </w:rPr>
      </w:pPr>
      <w:r w:rsidRPr="00253575">
        <w:rPr>
          <w:rFonts w:cs="Arial"/>
          <w:bCs/>
          <w:szCs w:val="20"/>
        </w:rPr>
        <w:t>V případě, že položk</w:t>
      </w:r>
      <w:r>
        <w:rPr>
          <w:rFonts w:cs="Arial"/>
          <w:bCs/>
          <w:szCs w:val="20"/>
        </w:rPr>
        <w:t>a</w:t>
      </w:r>
      <w:r w:rsidRPr="00253575">
        <w:rPr>
          <w:rFonts w:cs="Arial"/>
          <w:bCs/>
          <w:szCs w:val="20"/>
        </w:rPr>
        <w:t xml:space="preserve"> nebude zatržena </w:t>
      </w:r>
      <w:r>
        <w:rPr>
          <w:rFonts w:cs="Arial"/>
          <w:bCs/>
          <w:szCs w:val="20"/>
        </w:rPr>
        <w:t xml:space="preserve">a </w:t>
      </w:r>
      <w:r w:rsidRPr="00253575">
        <w:rPr>
          <w:rFonts w:cs="Arial"/>
          <w:bCs/>
          <w:szCs w:val="20"/>
        </w:rPr>
        <w:t>b</w:t>
      </w:r>
      <w:r>
        <w:rPr>
          <w:rFonts w:cs="Arial"/>
          <w:bCs/>
          <w:szCs w:val="20"/>
        </w:rPr>
        <w:t xml:space="preserve">udete chtít zadat slevy na dani, </w:t>
      </w:r>
      <w:r w:rsidRPr="00253575">
        <w:rPr>
          <w:rFonts w:cs="Arial"/>
          <w:bCs/>
          <w:szCs w:val="20"/>
        </w:rPr>
        <w:t xml:space="preserve">budete upozorněni hláškou. </w:t>
      </w:r>
    </w:p>
    <w:p w:rsidR="00253575" w:rsidRDefault="00253575" w:rsidP="00253575">
      <w:pPr>
        <w:rPr>
          <w:rFonts w:cs="Arial"/>
          <w:bCs/>
          <w:szCs w:val="20"/>
        </w:rPr>
      </w:pPr>
    </w:p>
    <w:p w:rsidR="00253575" w:rsidRPr="00253575" w:rsidRDefault="00253575" w:rsidP="00253575">
      <w:pPr>
        <w:jc w:val="center"/>
        <w:rPr>
          <w:rFonts w:cs="Arial"/>
          <w:bCs/>
          <w:szCs w:val="20"/>
        </w:rPr>
      </w:pPr>
      <w:r>
        <w:rPr>
          <w:noProof/>
        </w:rPr>
        <w:drawing>
          <wp:inline distT="0" distB="0" distL="0" distR="0" wp14:anchorId="71408271" wp14:editId="52D9165F">
            <wp:extent cx="4762500" cy="1371600"/>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762500" cy="1371600"/>
                    </a:xfrm>
                    <a:prstGeom prst="rect">
                      <a:avLst/>
                    </a:prstGeom>
                  </pic:spPr>
                </pic:pic>
              </a:graphicData>
            </a:graphic>
          </wp:inline>
        </w:drawing>
      </w:r>
    </w:p>
    <w:p w:rsidR="00253575" w:rsidRPr="00253575" w:rsidRDefault="00253575" w:rsidP="00253575">
      <w:pPr>
        <w:rPr>
          <w:rFonts w:cs="Arial"/>
          <w:bCs/>
          <w:szCs w:val="20"/>
        </w:rPr>
      </w:pPr>
    </w:p>
    <w:p w:rsidR="00253575" w:rsidRPr="00253575" w:rsidRDefault="00253575" w:rsidP="00253575">
      <w:pPr>
        <w:rPr>
          <w:rFonts w:cs="Arial"/>
          <w:bCs/>
          <w:szCs w:val="20"/>
        </w:rPr>
      </w:pPr>
      <w:r w:rsidRPr="00253575">
        <w:rPr>
          <w:rFonts w:cs="Arial"/>
          <w:b/>
          <w:bCs/>
          <w:szCs w:val="20"/>
        </w:rPr>
        <w:t>Podepsané Prohlášení</w:t>
      </w:r>
      <w:r w:rsidRPr="00253575">
        <w:rPr>
          <w:rFonts w:cs="Arial"/>
          <w:bCs/>
          <w:szCs w:val="20"/>
        </w:rPr>
        <w:t xml:space="preserve"> nejde zatrhnout v případě, že zvolený typ daně je srážkovou daní. </w:t>
      </w:r>
    </w:p>
    <w:p w:rsidR="00253575" w:rsidRPr="00253575" w:rsidRDefault="00253575" w:rsidP="00253575">
      <w:pPr>
        <w:rPr>
          <w:rFonts w:cs="Arial"/>
          <w:bCs/>
          <w:szCs w:val="20"/>
        </w:rPr>
      </w:pPr>
    </w:p>
    <w:p w:rsidR="00253575" w:rsidRPr="00253575" w:rsidRDefault="00253575" w:rsidP="00253575">
      <w:pPr>
        <w:rPr>
          <w:rFonts w:cs="Arial"/>
          <w:bCs/>
          <w:szCs w:val="20"/>
        </w:rPr>
      </w:pPr>
      <w:r w:rsidRPr="00253575">
        <w:rPr>
          <w:rFonts w:cs="Arial"/>
          <w:bCs/>
          <w:szCs w:val="20"/>
        </w:rPr>
        <w:t xml:space="preserve">Pro hromadné zadání položky je možné použít akci místní nabídky v přehledu mzdových údajů Podepsané prohlášení, Nastav u vybraných zaměstnanců nebo Zruš u vybraných zaměstnanců. V procesním okně můžete sledovat výsledek změny položky. Při hromadné změně položky probíhají stejné kontroly jako při uzavření editoru mzdových údajů. </w:t>
      </w:r>
    </w:p>
    <w:p w:rsidR="00253575" w:rsidRPr="00253575" w:rsidRDefault="00253575" w:rsidP="00253575">
      <w:pPr>
        <w:rPr>
          <w:rFonts w:cs="Arial"/>
          <w:bCs/>
          <w:szCs w:val="20"/>
        </w:rPr>
      </w:pPr>
    </w:p>
    <w:p w:rsidR="00253575" w:rsidRPr="00253575" w:rsidRDefault="00253575" w:rsidP="00253575">
      <w:pPr>
        <w:rPr>
          <w:rFonts w:cs="Arial"/>
          <w:bCs/>
          <w:szCs w:val="20"/>
        </w:rPr>
      </w:pPr>
      <w:r w:rsidRPr="00253575">
        <w:rPr>
          <w:rFonts w:cs="Arial"/>
          <w:bCs/>
          <w:szCs w:val="20"/>
        </w:rPr>
        <w:t xml:space="preserve">Položka je viditelná až od roku 2014. </w:t>
      </w:r>
    </w:p>
    <w:p w:rsidR="00253575" w:rsidRPr="00253575" w:rsidRDefault="00253575" w:rsidP="00253575">
      <w:pPr>
        <w:rPr>
          <w:rFonts w:cs="Arial"/>
          <w:bCs/>
          <w:szCs w:val="20"/>
        </w:rPr>
      </w:pPr>
    </w:p>
    <w:p w:rsidR="00253575" w:rsidRPr="00A010BF" w:rsidRDefault="00253575" w:rsidP="00253575">
      <w:pPr>
        <w:rPr>
          <w:rFonts w:cs="Arial"/>
          <w:bCs/>
          <w:i/>
          <w:szCs w:val="20"/>
        </w:rPr>
      </w:pPr>
      <w:r w:rsidRPr="00A010BF">
        <w:rPr>
          <w:rFonts w:cs="Arial"/>
          <w:bCs/>
          <w:i/>
          <w:szCs w:val="20"/>
        </w:rPr>
        <w:t>Upozornění:</w:t>
      </w:r>
    </w:p>
    <w:p w:rsidR="00253575" w:rsidRPr="00A010BF" w:rsidRDefault="00253575" w:rsidP="00253575">
      <w:pPr>
        <w:rPr>
          <w:rFonts w:cs="Arial"/>
          <w:bCs/>
          <w:i/>
          <w:szCs w:val="20"/>
        </w:rPr>
      </w:pPr>
      <w:r w:rsidRPr="00A010BF">
        <w:rPr>
          <w:rFonts w:cs="Arial"/>
          <w:bCs/>
          <w:i/>
          <w:szCs w:val="20"/>
        </w:rPr>
        <w:t>Položka není po výpočtu mzdy v měsíci zablokována, je jí možné upravit. Slouží hlavně pro tisk Potvrzení o výši příjmů. V případě, že je chybně uvedeno ve výkazu podepsal - nepodepsal, je možné daný měsíc odemknout, otevřít uzávěrku zaměstnance upravit položku a znovu uzavřít.</w:t>
      </w:r>
    </w:p>
    <w:p w:rsidR="0007585F" w:rsidRDefault="0007585F" w:rsidP="006A3993">
      <w:pPr>
        <w:pStyle w:val="Nadpis2"/>
      </w:pPr>
      <w:bookmarkStart w:id="72" w:name="_Toc376422276"/>
      <w:r>
        <w:t>Solidární zvýšení daně</w:t>
      </w:r>
      <w:bookmarkEnd w:id="72"/>
    </w:p>
    <w:p w:rsidR="0007585F" w:rsidRDefault="0007585F" w:rsidP="0007585F">
      <w:r>
        <w:t xml:space="preserve">Pro roky </w:t>
      </w:r>
      <w:r w:rsidR="00C345B2">
        <w:t>201</w:t>
      </w:r>
      <w:r w:rsidR="0060416B">
        <w:t>3</w:t>
      </w:r>
      <w:r>
        <w:t xml:space="preserve"> až 2015 je zavedení solidární zvýšení daně z příjmů fyzických osob ve výši 7 % z tzv. nadlimitního příjmu.</w:t>
      </w:r>
    </w:p>
    <w:p w:rsidR="002D7CFD" w:rsidRDefault="002D7CFD" w:rsidP="0007585F"/>
    <w:p w:rsidR="0007585F" w:rsidRDefault="0007585F" w:rsidP="0007585F">
      <w:r>
        <w:t xml:space="preserve">Solidární zvýšení daně u zálohy činí 7 % z kladného rozdílu mezi příjmy zahrnovanými do základu pro výpočet zálohy a 4násobkem průměrné mzdy stanovené podle zákona upravujícího pojistné na sociální zabezpečení </w:t>
      </w:r>
      <w:r w:rsidRPr="00445BBD">
        <w:rPr>
          <w:b/>
        </w:rPr>
        <w:t>103</w:t>
      </w:r>
      <w:r w:rsidR="00445BBD">
        <w:rPr>
          <w:b/>
        </w:rPr>
        <w:t> </w:t>
      </w:r>
      <w:r w:rsidR="002D7CFD">
        <w:rPr>
          <w:b/>
        </w:rPr>
        <w:t>768</w:t>
      </w:r>
      <w:r w:rsidR="00445BBD">
        <w:rPr>
          <w:b/>
        </w:rPr>
        <w:t xml:space="preserve"> Kč</w:t>
      </w:r>
      <w:r>
        <w:t>.</w:t>
      </w:r>
    </w:p>
    <w:p w:rsidR="00445BBD" w:rsidRDefault="00445BBD" w:rsidP="0007585F"/>
    <w:p w:rsidR="00445BBD" w:rsidRPr="00430E86" w:rsidRDefault="00445BBD" w:rsidP="006A3993">
      <w:pPr>
        <w:pStyle w:val="Nadpis2"/>
        <w:numPr>
          <w:ilvl w:val="2"/>
          <w:numId w:val="8"/>
        </w:numPr>
      </w:pPr>
      <w:bookmarkStart w:id="73" w:name="_Toc376422277"/>
      <w:r w:rsidRPr="00430E86">
        <w:t>Z hlediska programu Helios Orange</w:t>
      </w:r>
      <w:bookmarkEnd w:id="73"/>
    </w:p>
    <w:p w:rsidR="0007585F" w:rsidRDefault="0007585F" w:rsidP="0007585F">
      <w:r>
        <w:t>V editoru mzdových konsta</w:t>
      </w:r>
      <w:r w:rsidR="00445BBD">
        <w:t>n</w:t>
      </w:r>
      <w:r>
        <w:t xml:space="preserve">t na záložce Daně v sekci Základní daňové sazby přibyla skupina Solidární zvýšení daně (dále jen SZD), která obsahuje položky vlastní sazby SZD a hranici SZD (4násobek průměrné mzdy </w:t>
      </w:r>
      <w:r w:rsidRPr="00445BBD">
        <w:rPr>
          <w:b/>
        </w:rPr>
        <w:t xml:space="preserve">25 </w:t>
      </w:r>
      <w:r w:rsidR="002D7CFD">
        <w:rPr>
          <w:b/>
        </w:rPr>
        <w:t>942</w:t>
      </w:r>
      <w:r w:rsidR="00445BBD" w:rsidRPr="00445BBD">
        <w:rPr>
          <w:b/>
        </w:rPr>
        <w:t xml:space="preserve"> Kč</w:t>
      </w:r>
      <w:r>
        <w:t>.</w:t>
      </w:r>
    </w:p>
    <w:p w:rsidR="00445BBD" w:rsidRDefault="00445BBD" w:rsidP="0007585F"/>
    <w:p w:rsidR="0007585F" w:rsidRDefault="0007585F" w:rsidP="0007585F">
      <w:r w:rsidRPr="00445BBD">
        <w:rPr>
          <w:b/>
        </w:rPr>
        <w:t>Příklad:</w:t>
      </w:r>
      <w:r w:rsidR="00445BBD">
        <w:rPr>
          <w:b/>
        </w:rPr>
        <w:t xml:space="preserve"> </w:t>
      </w:r>
      <w:r>
        <w:t>Zaměstnanec má u zaměstnavatele dva pracovní poměry, jeden hlavní pracovní poměr na dobu určitou a druhý dohoda o pracovní činnosti. V rámci hlavního pracovního poměru dochází ke společnému zdanění.</w:t>
      </w:r>
    </w:p>
    <w:p w:rsidR="0007585F" w:rsidRDefault="0007585F" w:rsidP="0007585F"/>
    <w:p w:rsidR="0007585F" w:rsidRPr="00445BBD" w:rsidRDefault="0007585F" w:rsidP="0007585F">
      <w:pPr>
        <w:rPr>
          <w:b/>
        </w:rPr>
      </w:pPr>
      <w:r w:rsidRPr="00445BBD">
        <w:rPr>
          <w:b/>
        </w:rPr>
        <w:t>Hlavní pracovní poměr:</w:t>
      </w:r>
    </w:p>
    <w:p w:rsidR="0007585F" w:rsidRDefault="0007585F" w:rsidP="0007585F">
      <w:r>
        <w:t>Úhrn příjmů</w:t>
      </w:r>
      <w:r w:rsidR="00445BBD">
        <w:tab/>
      </w:r>
      <w:r w:rsidR="00445BBD">
        <w:tab/>
      </w:r>
      <w:r>
        <w:tab/>
      </w:r>
      <w:r>
        <w:tab/>
      </w:r>
      <w:r>
        <w:tab/>
      </w:r>
      <w:r>
        <w:tab/>
      </w:r>
      <w:r>
        <w:tab/>
        <w:t>98 300,-</w:t>
      </w:r>
    </w:p>
    <w:p w:rsidR="0007585F" w:rsidRDefault="0007585F" w:rsidP="0007585F">
      <w:r>
        <w:t>Solidární zvýšení daně - vyměřovací základ</w:t>
      </w:r>
      <w:r>
        <w:tab/>
      </w:r>
      <w:r>
        <w:tab/>
        <w:t>0</w:t>
      </w:r>
    </w:p>
    <w:p w:rsidR="0007585F" w:rsidRDefault="0007585F" w:rsidP="0007585F">
      <w:r>
        <w:t>Solidární zvýšení daně - vyměřovací základ celkem</w:t>
      </w:r>
      <w:r>
        <w:tab/>
        <w:t xml:space="preserve">4 </w:t>
      </w:r>
      <w:r w:rsidR="00DF180B">
        <w:t>532</w:t>
      </w:r>
      <w:r>
        <w:t xml:space="preserve">,- (10 000 + 98 300 - 103 </w:t>
      </w:r>
      <w:r w:rsidR="00DF180B">
        <w:t>768</w:t>
      </w:r>
      <w:r>
        <w:t xml:space="preserve">) </w:t>
      </w:r>
    </w:p>
    <w:p w:rsidR="0007585F" w:rsidRDefault="0007585F" w:rsidP="0007585F">
      <w:r>
        <w:t>Vypočtená částka SZD</w:t>
      </w:r>
      <w:r>
        <w:tab/>
      </w:r>
      <w:r>
        <w:tab/>
      </w:r>
      <w:r>
        <w:tab/>
      </w:r>
      <w:r>
        <w:tab/>
      </w:r>
      <w:r w:rsidR="00445BBD">
        <w:tab/>
      </w:r>
      <w:r>
        <w:t>3</w:t>
      </w:r>
      <w:r w:rsidR="00DF180B">
        <w:t>17</w:t>
      </w:r>
      <w:r>
        <w:t>,</w:t>
      </w:r>
      <w:r w:rsidR="00DF180B">
        <w:t>24</w:t>
      </w:r>
      <w:r>
        <w:t xml:space="preserve">,- (4 </w:t>
      </w:r>
      <w:r w:rsidR="00DF180B">
        <w:t>532</w:t>
      </w:r>
      <w:r>
        <w:t xml:space="preserve"> x 7%)</w:t>
      </w:r>
    </w:p>
    <w:p w:rsidR="0007585F" w:rsidRDefault="0007585F" w:rsidP="0007585F"/>
    <w:p w:rsidR="0007585F" w:rsidRPr="00445BBD" w:rsidRDefault="0007585F" w:rsidP="0007585F">
      <w:pPr>
        <w:rPr>
          <w:b/>
        </w:rPr>
      </w:pPr>
      <w:r w:rsidRPr="00445BBD">
        <w:rPr>
          <w:b/>
        </w:rPr>
        <w:t>Dohoda o pracovní činnosti:</w:t>
      </w:r>
    </w:p>
    <w:p w:rsidR="0007585F" w:rsidRDefault="0007585F" w:rsidP="0007585F">
      <w:r>
        <w:t>Úhrn příjmů</w:t>
      </w:r>
      <w:r>
        <w:tab/>
      </w:r>
      <w:r>
        <w:tab/>
      </w:r>
      <w:r>
        <w:tab/>
      </w:r>
      <w:r>
        <w:tab/>
      </w:r>
      <w:r>
        <w:tab/>
      </w:r>
      <w:r w:rsidR="00445BBD">
        <w:tab/>
      </w:r>
      <w:r w:rsidR="00445BBD">
        <w:tab/>
      </w:r>
      <w:r>
        <w:t>10 000,-</w:t>
      </w:r>
    </w:p>
    <w:p w:rsidR="0007585F" w:rsidRDefault="0007585F" w:rsidP="0007585F">
      <w:r>
        <w:t>Solidární zvýšení daně - vyměřovací základ</w:t>
      </w:r>
      <w:r>
        <w:tab/>
      </w:r>
      <w:r>
        <w:tab/>
        <w:t>0</w:t>
      </w:r>
    </w:p>
    <w:p w:rsidR="0007585F" w:rsidRDefault="0007585F" w:rsidP="0007585F">
      <w:r>
        <w:t>Solidární zvýšení daně - vyměřovací základ celkem</w:t>
      </w:r>
      <w:r>
        <w:tab/>
        <w:t>0</w:t>
      </w:r>
    </w:p>
    <w:p w:rsidR="0007585F" w:rsidRDefault="0007585F" w:rsidP="0007585F">
      <w:r>
        <w:t>Vypočtená částka SZD</w:t>
      </w:r>
      <w:r>
        <w:tab/>
      </w:r>
      <w:r>
        <w:tab/>
      </w:r>
      <w:r>
        <w:tab/>
      </w:r>
      <w:r>
        <w:tab/>
      </w:r>
      <w:r w:rsidR="00445BBD">
        <w:tab/>
      </w:r>
      <w:r>
        <w:t>0</w:t>
      </w:r>
    </w:p>
    <w:p w:rsidR="0007585F" w:rsidRDefault="0007585F" w:rsidP="0007585F"/>
    <w:p w:rsidR="0007585F" w:rsidRPr="00285B69" w:rsidRDefault="0007585F" w:rsidP="006A3993">
      <w:pPr>
        <w:pStyle w:val="Nadpis2"/>
      </w:pPr>
      <w:bookmarkStart w:id="74" w:name="_Toc376422278"/>
      <w:r>
        <w:t>Změny v daňových formulářích</w:t>
      </w:r>
      <w:bookmarkEnd w:id="74"/>
    </w:p>
    <w:p w:rsidR="000C5858" w:rsidRDefault="000D43A1" w:rsidP="000C5858">
      <w:pPr>
        <w:rPr>
          <w:rFonts w:cs="Arial"/>
          <w:bCs/>
          <w:szCs w:val="20"/>
        </w:rPr>
      </w:pPr>
      <w:r>
        <w:rPr>
          <w:rFonts w:cs="Arial"/>
          <w:bCs/>
          <w:szCs w:val="20"/>
        </w:rPr>
        <w:t>Změna ve formulářích vyúčtování srážkové</w:t>
      </w:r>
      <w:r w:rsidR="00291839">
        <w:rPr>
          <w:rFonts w:cs="Arial"/>
          <w:bCs/>
          <w:szCs w:val="20"/>
        </w:rPr>
        <w:t xml:space="preserve"> vzor 1</w:t>
      </w:r>
      <w:r w:rsidR="008A12C4">
        <w:rPr>
          <w:rFonts w:cs="Arial"/>
          <w:bCs/>
          <w:szCs w:val="20"/>
        </w:rPr>
        <w:t>6</w:t>
      </w:r>
      <w:r w:rsidR="00291839">
        <w:rPr>
          <w:rFonts w:cs="Arial"/>
          <w:bCs/>
          <w:szCs w:val="20"/>
        </w:rPr>
        <w:t>.</w:t>
      </w:r>
      <w:r>
        <w:rPr>
          <w:rFonts w:cs="Arial"/>
          <w:bCs/>
          <w:szCs w:val="20"/>
        </w:rPr>
        <w:t xml:space="preserve"> a zálohové daně</w:t>
      </w:r>
      <w:r w:rsidR="0012583B">
        <w:rPr>
          <w:rFonts w:cs="Arial"/>
          <w:bCs/>
          <w:szCs w:val="20"/>
        </w:rPr>
        <w:t xml:space="preserve"> vzor 1</w:t>
      </w:r>
      <w:r w:rsidR="008A12C4">
        <w:rPr>
          <w:rFonts w:cs="Arial"/>
          <w:bCs/>
          <w:szCs w:val="20"/>
        </w:rPr>
        <w:t>9</w:t>
      </w:r>
      <w:r>
        <w:rPr>
          <w:rFonts w:cs="Arial"/>
          <w:bCs/>
          <w:szCs w:val="20"/>
        </w:rPr>
        <w:t>.</w:t>
      </w:r>
      <w:r w:rsidR="0012583B">
        <w:rPr>
          <w:rFonts w:cs="Arial"/>
          <w:bCs/>
          <w:szCs w:val="20"/>
        </w:rPr>
        <w:t xml:space="preserve"> Respektive formuláře jsou pouze kosmeticky upraveny, aby při tisku zobrazily vzor 1</w:t>
      </w:r>
      <w:r w:rsidR="008A12C4">
        <w:rPr>
          <w:rFonts w:cs="Arial"/>
          <w:bCs/>
          <w:szCs w:val="20"/>
        </w:rPr>
        <w:t>9</w:t>
      </w:r>
      <w:r w:rsidR="0012583B">
        <w:rPr>
          <w:rFonts w:cs="Arial"/>
          <w:bCs/>
          <w:szCs w:val="20"/>
        </w:rPr>
        <w:t>.</w:t>
      </w:r>
    </w:p>
    <w:p w:rsidR="0030255F" w:rsidRDefault="0030255F" w:rsidP="000C5858">
      <w:pPr>
        <w:rPr>
          <w:rFonts w:cs="Arial"/>
          <w:bCs/>
          <w:szCs w:val="20"/>
        </w:rPr>
      </w:pPr>
    </w:p>
    <w:p w:rsidR="0030255F" w:rsidRPr="0030255F" w:rsidRDefault="0030255F" w:rsidP="000C5858">
      <w:pPr>
        <w:rPr>
          <w:rFonts w:cs="Arial"/>
          <w:b/>
          <w:bCs/>
          <w:szCs w:val="20"/>
        </w:rPr>
      </w:pPr>
      <w:r w:rsidRPr="0030255F">
        <w:rPr>
          <w:rFonts w:cs="Arial"/>
          <w:b/>
          <w:bCs/>
          <w:szCs w:val="20"/>
        </w:rPr>
        <w:t>Formulář vyúčtování zálohové daně</w:t>
      </w:r>
    </w:p>
    <w:p w:rsidR="0030255F" w:rsidRDefault="0030255F" w:rsidP="0030255F">
      <w:pPr>
        <w:rPr>
          <w:rFonts w:cs="Arial"/>
          <w:bCs/>
          <w:szCs w:val="20"/>
        </w:rPr>
      </w:pPr>
      <w:r w:rsidRPr="0030255F">
        <w:rPr>
          <w:rFonts w:cs="Arial"/>
          <w:bCs/>
          <w:szCs w:val="20"/>
        </w:rPr>
        <w:t xml:space="preserve">Sloupec </w:t>
      </w:r>
      <w:r>
        <w:rPr>
          <w:rFonts w:cs="Arial"/>
          <w:bCs/>
          <w:szCs w:val="20"/>
        </w:rPr>
        <w:t>6 a</w:t>
      </w:r>
      <w:r w:rsidR="00F23DE8">
        <w:rPr>
          <w:rFonts w:cs="Arial"/>
          <w:bCs/>
          <w:szCs w:val="20"/>
        </w:rPr>
        <w:t xml:space="preserve"> </w:t>
      </w:r>
      <w:r>
        <w:rPr>
          <w:rFonts w:cs="Arial"/>
          <w:bCs/>
          <w:szCs w:val="20"/>
        </w:rPr>
        <w:t>7 v části I. – zůstává neobsazen (</w:t>
      </w:r>
      <w:r w:rsidRPr="0030255F">
        <w:rPr>
          <w:rFonts w:cs="Arial"/>
          <w:bCs/>
          <w:szCs w:val="20"/>
        </w:rPr>
        <w:t>nevyplňuje se) z důvodu, že od počátku zdaňovacího období 2013 se veškeré opravy</w:t>
      </w:r>
      <w:r>
        <w:rPr>
          <w:rFonts w:cs="Arial"/>
          <w:bCs/>
          <w:szCs w:val="20"/>
        </w:rPr>
        <w:t xml:space="preserve"> </w:t>
      </w:r>
      <w:r w:rsidRPr="0030255F">
        <w:rPr>
          <w:rFonts w:cs="Arial"/>
          <w:bCs/>
          <w:szCs w:val="20"/>
        </w:rPr>
        <w:t>předcházejících zdaňovacích období řeší pouze prostřednictvím dodatečných vyúčtování k příslušnému zdaňovacímu období.</w:t>
      </w:r>
    </w:p>
    <w:p w:rsidR="0030255F" w:rsidRDefault="0030255F" w:rsidP="0030255F">
      <w:pPr>
        <w:rPr>
          <w:rFonts w:cs="Arial"/>
          <w:bCs/>
          <w:szCs w:val="20"/>
        </w:rPr>
      </w:pPr>
    </w:p>
    <w:p w:rsidR="00F23DE8" w:rsidRPr="00F23DE8" w:rsidRDefault="00F23DE8" w:rsidP="0030255F">
      <w:pPr>
        <w:rPr>
          <w:rFonts w:cs="Arial"/>
          <w:b/>
          <w:bCs/>
          <w:szCs w:val="20"/>
        </w:rPr>
      </w:pPr>
      <w:r w:rsidRPr="0030255F">
        <w:rPr>
          <w:rFonts w:cs="Arial"/>
          <w:b/>
          <w:bCs/>
          <w:szCs w:val="20"/>
        </w:rPr>
        <w:t xml:space="preserve">Formulář vyúčtování </w:t>
      </w:r>
      <w:r>
        <w:rPr>
          <w:rFonts w:cs="Arial"/>
          <w:b/>
          <w:bCs/>
          <w:szCs w:val="20"/>
        </w:rPr>
        <w:t>srážkové</w:t>
      </w:r>
      <w:r w:rsidRPr="0030255F">
        <w:rPr>
          <w:rFonts w:cs="Arial"/>
          <w:b/>
          <w:bCs/>
          <w:szCs w:val="20"/>
        </w:rPr>
        <w:t xml:space="preserve"> daně</w:t>
      </w:r>
    </w:p>
    <w:p w:rsidR="00F23DE8" w:rsidRPr="00F23DE8" w:rsidRDefault="00F23DE8" w:rsidP="00F23DE8">
      <w:pPr>
        <w:rPr>
          <w:rFonts w:cs="Arial"/>
          <w:bCs/>
          <w:szCs w:val="20"/>
        </w:rPr>
      </w:pPr>
      <w:r>
        <w:rPr>
          <w:rFonts w:cs="Arial"/>
          <w:bCs/>
          <w:szCs w:val="20"/>
        </w:rPr>
        <w:t>Sloupec 4,</w:t>
      </w:r>
      <w:r w:rsidRPr="00F23DE8">
        <w:rPr>
          <w:rFonts w:cs="Arial"/>
          <w:bCs/>
          <w:szCs w:val="20"/>
        </w:rPr>
        <w:t>5</w:t>
      </w:r>
      <w:r>
        <w:rPr>
          <w:rFonts w:cs="Arial"/>
          <w:bCs/>
          <w:szCs w:val="20"/>
        </w:rPr>
        <w:t xml:space="preserve"> a 8</w:t>
      </w:r>
      <w:r w:rsidRPr="00F23DE8">
        <w:rPr>
          <w:rFonts w:cs="Arial"/>
          <w:bCs/>
          <w:szCs w:val="20"/>
        </w:rPr>
        <w:t xml:space="preserve"> – zůstává neobsazen (nevyplňuje se) z důvodu, že od počátku zdaňovacího období 2013 se veškeré opravy předcházejících</w:t>
      </w:r>
      <w:r>
        <w:rPr>
          <w:rFonts w:cs="Arial"/>
          <w:bCs/>
          <w:szCs w:val="20"/>
        </w:rPr>
        <w:t xml:space="preserve"> </w:t>
      </w:r>
      <w:r w:rsidRPr="00F23DE8">
        <w:rPr>
          <w:rFonts w:cs="Arial"/>
          <w:bCs/>
          <w:szCs w:val="20"/>
        </w:rPr>
        <w:t>zdaňovacích období řeší pouze prostřednictvím dodatečných vyúčtování k příslušnému zdaňovacímu období.</w:t>
      </w:r>
    </w:p>
    <w:p w:rsidR="000C5858" w:rsidRDefault="000C5858" w:rsidP="000C5858">
      <w:pPr>
        <w:rPr>
          <w:rFonts w:cs="Arial"/>
          <w:bCs/>
          <w:szCs w:val="20"/>
        </w:rPr>
      </w:pPr>
    </w:p>
    <w:p w:rsidR="008236FA" w:rsidRDefault="000C5858" w:rsidP="000C5858">
      <w:pPr>
        <w:rPr>
          <w:rFonts w:cs="Arial"/>
          <w:bCs/>
          <w:szCs w:val="20"/>
        </w:rPr>
      </w:pPr>
      <w:r>
        <w:rPr>
          <w:rFonts w:cs="Arial"/>
          <w:bCs/>
          <w:szCs w:val="20"/>
        </w:rPr>
        <w:t>Modul podání vyúčtování daně</w:t>
      </w:r>
      <w:r w:rsidR="008236FA">
        <w:rPr>
          <w:rFonts w:cs="Arial"/>
          <w:bCs/>
          <w:szCs w:val="20"/>
        </w:rPr>
        <w:t>:</w:t>
      </w:r>
    </w:p>
    <w:p w:rsidR="00B96149" w:rsidRPr="00B96149" w:rsidRDefault="00B96149" w:rsidP="0022378B">
      <w:pPr>
        <w:pStyle w:val="Odstavecseseznamem"/>
        <w:numPr>
          <w:ilvl w:val="0"/>
          <w:numId w:val="39"/>
        </w:numPr>
        <w:rPr>
          <w:rFonts w:cs="Arial"/>
          <w:bCs/>
          <w:szCs w:val="20"/>
        </w:rPr>
      </w:pPr>
      <w:r>
        <w:rPr>
          <w:rFonts w:cs="Arial"/>
          <w:bCs/>
          <w:szCs w:val="20"/>
        </w:rPr>
        <w:t xml:space="preserve">Jedná se o placený plugin </w:t>
      </w:r>
      <w:r w:rsidRPr="00B96149">
        <w:rPr>
          <w:rFonts w:cs="Arial"/>
          <w:b/>
          <w:bCs/>
          <w:szCs w:val="20"/>
        </w:rPr>
        <w:t>Vyúčtování zálohové a srážkové daně</w:t>
      </w:r>
    </w:p>
    <w:p w:rsidR="008236FA" w:rsidRDefault="008236FA" w:rsidP="0022378B">
      <w:pPr>
        <w:pStyle w:val="Odstavecseseznamem"/>
        <w:numPr>
          <w:ilvl w:val="0"/>
          <w:numId w:val="38"/>
        </w:numPr>
        <w:rPr>
          <w:rFonts w:cs="Arial"/>
          <w:bCs/>
          <w:szCs w:val="20"/>
        </w:rPr>
      </w:pPr>
      <w:r>
        <w:rPr>
          <w:rFonts w:cs="Arial"/>
          <w:bCs/>
          <w:szCs w:val="20"/>
        </w:rPr>
        <w:t xml:space="preserve">Načtení hodnot z roku </w:t>
      </w:r>
      <w:r w:rsidR="00C345B2">
        <w:rPr>
          <w:rFonts w:cs="Arial"/>
          <w:bCs/>
          <w:szCs w:val="20"/>
        </w:rPr>
        <w:t>2013</w:t>
      </w:r>
    </w:p>
    <w:p w:rsidR="00B96149" w:rsidRDefault="00B96149" w:rsidP="0022378B">
      <w:pPr>
        <w:pStyle w:val="Odstavecseseznamem"/>
        <w:numPr>
          <w:ilvl w:val="0"/>
          <w:numId w:val="38"/>
        </w:numPr>
        <w:rPr>
          <w:rFonts w:cs="Arial"/>
          <w:bCs/>
          <w:szCs w:val="20"/>
        </w:rPr>
      </w:pPr>
      <w:r>
        <w:rPr>
          <w:rFonts w:cs="Arial"/>
          <w:bCs/>
          <w:szCs w:val="20"/>
        </w:rPr>
        <w:t>Při existenci poboček provést nápočet za jednotlivé pobočky</w:t>
      </w:r>
    </w:p>
    <w:p w:rsidR="00B96149" w:rsidRDefault="00B96149" w:rsidP="0022378B">
      <w:pPr>
        <w:pStyle w:val="Odstavecseseznamem"/>
        <w:numPr>
          <w:ilvl w:val="0"/>
          <w:numId w:val="38"/>
        </w:numPr>
        <w:rPr>
          <w:rFonts w:cs="Arial"/>
          <w:bCs/>
          <w:szCs w:val="20"/>
        </w:rPr>
      </w:pPr>
      <w:r>
        <w:rPr>
          <w:rFonts w:cs="Arial"/>
          <w:bCs/>
          <w:szCs w:val="20"/>
        </w:rPr>
        <w:t>Posun výkazu srážkové daně o jeden měsíc</w:t>
      </w:r>
    </w:p>
    <w:p w:rsidR="008236FA" w:rsidRDefault="008236FA" w:rsidP="0022378B">
      <w:pPr>
        <w:pStyle w:val="Odstavecseseznamem"/>
        <w:numPr>
          <w:ilvl w:val="0"/>
          <w:numId w:val="38"/>
        </w:numPr>
        <w:rPr>
          <w:rFonts w:cs="Arial"/>
          <w:bCs/>
          <w:szCs w:val="20"/>
        </w:rPr>
      </w:pPr>
      <w:r>
        <w:rPr>
          <w:rFonts w:cs="Arial"/>
          <w:bCs/>
          <w:szCs w:val="20"/>
        </w:rPr>
        <w:t>Oprava hodnot přes korekční pole</w:t>
      </w:r>
    </w:p>
    <w:p w:rsidR="008236FA" w:rsidRDefault="008236FA" w:rsidP="0022378B">
      <w:pPr>
        <w:pStyle w:val="Odstavecseseznamem"/>
        <w:numPr>
          <w:ilvl w:val="0"/>
          <w:numId w:val="38"/>
        </w:numPr>
        <w:rPr>
          <w:rFonts w:cs="Arial"/>
          <w:bCs/>
          <w:szCs w:val="20"/>
        </w:rPr>
      </w:pPr>
      <w:r>
        <w:rPr>
          <w:rFonts w:cs="Arial"/>
          <w:bCs/>
          <w:szCs w:val="20"/>
        </w:rPr>
        <w:t>Tisk formulářů</w:t>
      </w:r>
    </w:p>
    <w:p w:rsidR="000C5858" w:rsidRPr="008236FA" w:rsidRDefault="008236FA" w:rsidP="0022378B">
      <w:pPr>
        <w:pStyle w:val="Odstavecseseznamem"/>
        <w:numPr>
          <w:ilvl w:val="0"/>
          <w:numId w:val="38"/>
        </w:numPr>
        <w:rPr>
          <w:rFonts w:cs="Arial"/>
          <w:bCs/>
          <w:szCs w:val="20"/>
        </w:rPr>
      </w:pPr>
      <w:r>
        <w:rPr>
          <w:rFonts w:cs="Arial"/>
          <w:bCs/>
          <w:szCs w:val="20"/>
        </w:rPr>
        <w:t xml:space="preserve">Generování XML souboru pro </w:t>
      </w:r>
      <w:r w:rsidR="000C5858" w:rsidRPr="008236FA">
        <w:rPr>
          <w:rFonts w:cs="Arial"/>
          <w:bCs/>
          <w:szCs w:val="20"/>
        </w:rPr>
        <w:t>elektronick</w:t>
      </w:r>
      <w:r>
        <w:rPr>
          <w:rFonts w:cs="Arial"/>
          <w:bCs/>
          <w:szCs w:val="20"/>
        </w:rPr>
        <w:t>é podání</w:t>
      </w:r>
    </w:p>
    <w:p w:rsidR="000C5858" w:rsidRDefault="000C5858" w:rsidP="000C5858">
      <w:pPr>
        <w:rPr>
          <w:rFonts w:cs="Arial"/>
          <w:bCs/>
          <w:szCs w:val="20"/>
        </w:rPr>
      </w:pPr>
    </w:p>
    <w:p w:rsidR="000C5858" w:rsidRPr="000C5858" w:rsidRDefault="000C5858" w:rsidP="000C5858">
      <w:pPr>
        <w:jc w:val="center"/>
        <w:rPr>
          <w:rFonts w:cs="Arial"/>
          <w:bCs/>
          <w:szCs w:val="20"/>
        </w:rPr>
      </w:pPr>
      <w:r>
        <w:rPr>
          <w:noProof/>
        </w:rPr>
        <w:lastRenderedPageBreak/>
        <w:drawing>
          <wp:inline distT="0" distB="0" distL="0" distR="0" wp14:anchorId="14DC904B" wp14:editId="6C985CD1">
            <wp:extent cx="5235443" cy="4660503"/>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233044" cy="4658368"/>
                    </a:xfrm>
                    <a:prstGeom prst="rect">
                      <a:avLst/>
                    </a:prstGeom>
                  </pic:spPr>
                </pic:pic>
              </a:graphicData>
            </a:graphic>
          </wp:inline>
        </w:drawing>
      </w:r>
    </w:p>
    <w:p w:rsidR="000C5858" w:rsidRDefault="000C5858" w:rsidP="00285B69">
      <w:pPr>
        <w:rPr>
          <w:rFonts w:cs="Arial"/>
          <w:bCs/>
          <w:szCs w:val="20"/>
        </w:rPr>
      </w:pPr>
    </w:p>
    <w:p w:rsidR="00285B69" w:rsidRPr="00285B69" w:rsidRDefault="000C5858" w:rsidP="000C5858">
      <w:pPr>
        <w:jc w:val="center"/>
        <w:rPr>
          <w:rFonts w:cs="Arial"/>
          <w:bCs/>
          <w:szCs w:val="20"/>
        </w:rPr>
      </w:pPr>
      <w:r>
        <w:rPr>
          <w:noProof/>
        </w:rPr>
        <w:lastRenderedPageBreak/>
        <w:drawing>
          <wp:inline distT="0" distB="0" distL="0" distR="0" wp14:anchorId="2C2DBA62" wp14:editId="71541033">
            <wp:extent cx="5724525" cy="5095875"/>
            <wp:effectExtent l="0" t="0" r="9525" b="9525"/>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724525" cy="5095875"/>
                    </a:xfrm>
                    <a:prstGeom prst="rect">
                      <a:avLst/>
                    </a:prstGeom>
                  </pic:spPr>
                </pic:pic>
              </a:graphicData>
            </a:graphic>
          </wp:inline>
        </w:drawing>
      </w:r>
      <w:r w:rsidR="00E6343B">
        <w:rPr>
          <w:rFonts w:cs="Arial"/>
          <w:bCs/>
          <w:szCs w:val="20"/>
        </w:rPr>
        <w:br w:type="page"/>
      </w:r>
    </w:p>
    <w:p w:rsidR="0074246D" w:rsidRDefault="0074246D" w:rsidP="000B146C">
      <w:pPr>
        <w:pStyle w:val="Nadpis1"/>
      </w:pPr>
      <w:bookmarkStart w:id="75" w:name="_Toc376422279"/>
      <w:r>
        <w:lastRenderedPageBreak/>
        <w:t>Výkon rozhodnutí</w:t>
      </w:r>
      <w:bookmarkEnd w:id="75"/>
    </w:p>
    <w:p w:rsidR="0074246D" w:rsidRDefault="00C44579" w:rsidP="0074246D">
      <w:r>
        <w:rPr>
          <w:rFonts w:cs="Arial"/>
          <w:bCs/>
          <w:szCs w:val="20"/>
        </w:rPr>
        <w:t>Konstanty a číselníky, DNP a pojištění, sekce Sociální pojištění, změna č</w:t>
      </w:r>
      <w:r w:rsidR="00B26ED0" w:rsidRPr="00B26ED0">
        <w:t>ástk</w:t>
      </w:r>
      <w:r>
        <w:t>y</w:t>
      </w:r>
      <w:r w:rsidR="00B26ED0" w:rsidRPr="00B26ED0">
        <w:t xml:space="preserve"> životního minima </w:t>
      </w:r>
      <w:r w:rsidR="00B26ED0">
        <w:t xml:space="preserve">jednotlivce se pro rok </w:t>
      </w:r>
      <w:r w:rsidR="00C345B2">
        <w:t>2014</w:t>
      </w:r>
      <w:r w:rsidR="0012583B">
        <w:t xml:space="preserve"> </w:t>
      </w:r>
      <w:r>
        <w:t>a</w:t>
      </w:r>
      <w:r w:rsidR="00B26ED0">
        <w:t xml:space="preserve"> částka </w:t>
      </w:r>
      <w:r w:rsidR="00FE628A">
        <w:t>normativních nákladů na bydlení</w:t>
      </w:r>
      <w:r w:rsidR="00B26ED0">
        <w:t>.</w:t>
      </w:r>
    </w:p>
    <w:p w:rsidR="00FE628A" w:rsidRDefault="00FE628A" w:rsidP="0074246D"/>
    <w:p w:rsidR="00B26ED0" w:rsidRDefault="00B26ED0" w:rsidP="0074246D">
      <w:r>
        <w:t>Součet těchto dvou částek</w:t>
      </w:r>
      <w:r w:rsidR="00893687">
        <w:t xml:space="preserve"> </w:t>
      </w:r>
      <w:r w:rsidR="00055DCD" w:rsidRPr="00055DCD">
        <w:rPr>
          <w:b/>
        </w:rPr>
        <w:t xml:space="preserve">9 </w:t>
      </w:r>
      <w:r w:rsidR="000738E0">
        <w:rPr>
          <w:b/>
        </w:rPr>
        <w:t>283</w:t>
      </w:r>
      <w:r w:rsidR="00893687" w:rsidRPr="00893687">
        <w:rPr>
          <w:b/>
        </w:rPr>
        <w:t xml:space="preserve"> Kč</w:t>
      </w:r>
      <w:r w:rsidR="00893687">
        <w:t xml:space="preserve"> </w:t>
      </w:r>
      <w:r>
        <w:t>tvoří částku životního minima, která je základem pro výpočet nezabavitelných částek.</w:t>
      </w:r>
    </w:p>
    <w:p w:rsidR="000D43A1" w:rsidRDefault="000D43A1" w:rsidP="0074246D"/>
    <w:p w:rsidR="003F0CE3" w:rsidRPr="00B26ED0" w:rsidRDefault="009E4882" w:rsidP="0074246D">
      <w:r>
        <w:rPr>
          <w:noProof/>
        </w:rPr>
        <w:drawing>
          <wp:inline distT="0" distB="0" distL="0" distR="0" wp14:anchorId="38F229EC" wp14:editId="68AB9BC4">
            <wp:extent cx="5144494" cy="3759648"/>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145684" cy="3760517"/>
                    </a:xfrm>
                    <a:prstGeom prst="rect">
                      <a:avLst/>
                    </a:prstGeom>
                  </pic:spPr>
                </pic:pic>
              </a:graphicData>
            </a:graphic>
          </wp:inline>
        </w:drawing>
      </w:r>
    </w:p>
    <w:p w:rsidR="00C74D24" w:rsidRDefault="00C74D24" w:rsidP="0074246D"/>
    <w:p w:rsidR="00C74D24" w:rsidRPr="003F0CE3" w:rsidRDefault="003F0CE3" w:rsidP="00055DCD">
      <w:pPr>
        <w:numPr>
          <w:ilvl w:val="0"/>
          <w:numId w:val="35"/>
        </w:numPr>
      </w:pPr>
      <w:r>
        <w:t>Na osobu povinn</w:t>
      </w:r>
      <w:r w:rsidR="00D028E1">
        <w:t>ého</w:t>
      </w:r>
      <w:r>
        <w:t xml:space="preserve">   </w:t>
      </w:r>
      <w:r w:rsidR="00055DCD" w:rsidRPr="00055DCD">
        <w:rPr>
          <w:b/>
        </w:rPr>
        <w:t>6</w:t>
      </w:r>
      <w:r w:rsidR="009E4882">
        <w:rPr>
          <w:b/>
        </w:rPr>
        <w:t> 188,67</w:t>
      </w:r>
      <w:r w:rsidR="00055DCD" w:rsidRPr="00055DCD">
        <w:rPr>
          <w:b/>
        </w:rPr>
        <w:t xml:space="preserve"> </w:t>
      </w:r>
      <w:r w:rsidR="000D43A1">
        <w:t xml:space="preserve">(2/3 z částky </w:t>
      </w:r>
      <w:r w:rsidR="009E4882">
        <w:t>9 283</w:t>
      </w:r>
      <w:r>
        <w:t>)</w:t>
      </w:r>
    </w:p>
    <w:p w:rsidR="00C74D24" w:rsidRDefault="00C74D24" w:rsidP="00055DCD">
      <w:pPr>
        <w:numPr>
          <w:ilvl w:val="0"/>
          <w:numId w:val="35"/>
        </w:numPr>
      </w:pPr>
      <w:r w:rsidRPr="003F0CE3">
        <w:t xml:space="preserve">Na vyživovanou osobu </w:t>
      </w:r>
      <w:r w:rsidR="00055DCD" w:rsidRPr="00055DCD">
        <w:rPr>
          <w:b/>
        </w:rPr>
        <w:t>1</w:t>
      </w:r>
      <w:r w:rsidR="009E4882">
        <w:rPr>
          <w:b/>
        </w:rPr>
        <w:t> 547,17</w:t>
      </w:r>
      <w:r w:rsidRPr="003F0CE3">
        <w:t xml:space="preserve"> </w:t>
      </w:r>
      <w:r w:rsidR="003F0CE3">
        <w:t xml:space="preserve">(1/4 </w:t>
      </w:r>
      <w:r w:rsidR="000D43A1">
        <w:t xml:space="preserve">z částky </w:t>
      </w:r>
      <w:r w:rsidR="000738E0">
        <w:t>6 188,67</w:t>
      </w:r>
      <w:r w:rsidR="003F0CE3">
        <w:t>)</w:t>
      </w:r>
    </w:p>
    <w:p w:rsidR="00B20AA9" w:rsidRDefault="00B20AA9" w:rsidP="00B20AA9">
      <w:pPr>
        <w:ind w:left="720"/>
      </w:pPr>
    </w:p>
    <w:p w:rsidR="000D43A1" w:rsidRPr="003F0CE3" w:rsidRDefault="00B20AA9" w:rsidP="000D43A1">
      <w:r w:rsidRPr="00B20AA9">
        <w:rPr>
          <w:i/>
        </w:rPr>
        <w:t xml:space="preserve">Dohody o srážkách podle nového občanského zákoníku nejsou součástí Heliosu Orange. V tuto chvíli čerpáme informace jakým způsobem například řešit kombinace dohody o srážkách a srážek dle občanského soudního řádu. </w:t>
      </w:r>
    </w:p>
    <w:p w:rsidR="0074246D" w:rsidRDefault="0074246D" w:rsidP="0074246D">
      <w:pPr>
        <w:pStyle w:val="Nadpis1"/>
        <w:numPr>
          <w:ilvl w:val="0"/>
          <w:numId w:val="1"/>
        </w:numPr>
      </w:pPr>
      <w:bookmarkStart w:id="76" w:name="_Toc376422280"/>
      <w:r>
        <w:lastRenderedPageBreak/>
        <w:t>Roční zúčtování daně</w:t>
      </w:r>
      <w:bookmarkEnd w:id="76"/>
    </w:p>
    <w:p w:rsidR="0074246D" w:rsidRDefault="0074246D" w:rsidP="0074246D">
      <w:pPr>
        <w:rPr>
          <w:rStyle w:val="PromnnHTML"/>
          <w:szCs w:val="20"/>
        </w:rPr>
      </w:pPr>
      <w:r>
        <w:rPr>
          <w:rStyle w:val="PromnnHTML"/>
          <w:caps/>
          <w:szCs w:val="20"/>
        </w:rPr>
        <w:t>(</w:t>
      </w:r>
      <w:r w:rsidRPr="000907A8">
        <w:rPr>
          <w:rStyle w:val="PromnnHTML"/>
          <w:szCs w:val="20"/>
        </w:rPr>
        <w:t>R</w:t>
      </w:r>
      <w:r>
        <w:rPr>
          <w:rStyle w:val="PromnnHTML"/>
          <w:szCs w:val="20"/>
        </w:rPr>
        <w:t>oční sestavy</w:t>
      </w:r>
      <w:r w:rsidRPr="00573690">
        <w:rPr>
          <w:rStyle w:val="PromnnHTML"/>
          <w:szCs w:val="20"/>
        </w:rPr>
        <w:t xml:space="preserve"> – Roční zúčtování</w:t>
      </w:r>
      <w:r>
        <w:rPr>
          <w:rStyle w:val="PromnnHTML"/>
          <w:szCs w:val="20"/>
        </w:rPr>
        <w:t xml:space="preserve"> daně</w:t>
      </w:r>
      <w:r w:rsidRPr="00573690">
        <w:rPr>
          <w:rStyle w:val="PromnnHTML"/>
          <w:szCs w:val="20"/>
        </w:rPr>
        <w:t>)</w:t>
      </w:r>
    </w:p>
    <w:p w:rsidR="0074246D" w:rsidRDefault="0074246D" w:rsidP="0074246D">
      <w:pPr>
        <w:pStyle w:val="Nadpis2"/>
        <w:numPr>
          <w:ilvl w:val="1"/>
          <w:numId w:val="1"/>
        </w:numPr>
        <w:rPr>
          <w:rStyle w:val="PromnnHTML"/>
          <w:szCs w:val="20"/>
        </w:rPr>
      </w:pPr>
      <w:bookmarkStart w:id="77" w:name="_Toc376422281"/>
      <w:r>
        <w:rPr>
          <w:rStyle w:val="PromnnHTML"/>
          <w:szCs w:val="20"/>
        </w:rPr>
        <w:t>Princip výpočtu – bez daňového zvýhodnění</w:t>
      </w:r>
      <w:bookmarkEnd w:id="77"/>
    </w:p>
    <w:p w:rsidR="0074246D" w:rsidRPr="00596AF0" w:rsidRDefault="0074246D" w:rsidP="0074246D"/>
    <w:tbl>
      <w:tblPr>
        <w:tblW w:w="9735" w:type="dxa"/>
        <w:tblInd w:w="55" w:type="dxa"/>
        <w:tblCellMar>
          <w:left w:w="70" w:type="dxa"/>
          <w:right w:w="70" w:type="dxa"/>
        </w:tblCellMar>
        <w:tblLook w:val="04A0" w:firstRow="1" w:lastRow="0" w:firstColumn="1" w:lastColumn="0" w:noHBand="0" w:noVBand="1"/>
      </w:tblPr>
      <w:tblGrid>
        <w:gridCol w:w="824"/>
        <w:gridCol w:w="7360"/>
        <w:gridCol w:w="1551"/>
      </w:tblGrid>
      <w:tr w:rsidR="0074246D" w:rsidRPr="00DE5E42">
        <w:trPr>
          <w:trHeight w:val="300"/>
        </w:trPr>
        <w:tc>
          <w:tcPr>
            <w:tcW w:w="824"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74246D" w:rsidRPr="00516DB9" w:rsidRDefault="0074246D" w:rsidP="00054A2A">
            <w:pPr>
              <w:widowControl/>
              <w:adjustRightInd/>
              <w:spacing w:line="240" w:lineRule="auto"/>
              <w:jc w:val="left"/>
              <w:textAlignment w:val="auto"/>
              <w:rPr>
                <w:color w:val="000000"/>
                <w:szCs w:val="20"/>
              </w:rPr>
            </w:pPr>
            <w:r w:rsidRPr="00516DB9">
              <w:rPr>
                <w:color w:val="000000"/>
                <w:szCs w:val="20"/>
              </w:rPr>
              <w:t>Řádek</w:t>
            </w:r>
          </w:p>
        </w:tc>
        <w:tc>
          <w:tcPr>
            <w:tcW w:w="7360" w:type="dxa"/>
            <w:tcBorders>
              <w:top w:val="single" w:sz="4" w:space="0" w:color="auto"/>
              <w:left w:val="nil"/>
              <w:bottom w:val="single" w:sz="4" w:space="0" w:color="auto"/>
              <w:right w:val="single" w:sz="4" w:space="0" w:color="auto"/>
            </w:tcBorders>
            <w:shd w:val="clear" w:color="000000" w:fill="D8D8D8"/>
            <w:noWrap/>
            <w:vAlign w:val="bottom"/>
          </w:tcPr>
          <w:p w:rsidR="0074246D" w:rsidRPr="00516DB9" w:rsidRDefault="0074246D" w:rsidP="00054A2A">
            <w:pPr>
              <w:widowControl/>
              <w:adjustRightInd/>
              <w:spacing w:line="240" w:lineRule="auto"/>
              <w:jc w:val="left"/>
              <w:textAlignment w:val="auto"/>
              <w:rPr>
                <w:color w:val="000000"/>
                <w:szCs w:val="20"/>
              </w:rPr>
            </w:pPr>
            <w:r w:rsidRPr="00516DB9">
              <w:rPr>
                <w:color w:val="000000"/>
                <w:szCs w:val="20"/>
              </w:rPr>
              <w:t> </w:t>
            </w:r>
          </w:p>
        </w:tc>
        <w:tc>
          <w:tcPr>
            <w:tcW w:w="1551" w:type="dxa"/>
            <w:tcBorders>
              <w:top w:val="single" w:sz="4" w:space="0" w:color="auto"/>
              <w:left w:val="nil"/>
              <w:bottom w:val="single" w:sz="4" w:space="0" w:color="auto"/>
              <w:right w:val="single" w:sz="4" w:space="0" w:color="auto"/>
            </w:tcBorders>
            <w:shd w:val="clear" w:color="000000" w:fill="D8D8D8"/>
            <w:noWrap/>
            <w:vAlign w:val="bottom"/>
          </w:tcPr>
          <w:p w:rsidR="0074246D" w:rsidRPr="00516DB9" w:rsidRDefault="0074246D" w:rsidP="00054A2A">
            <w:pPr>
              <w:widowControl/>
              <w:adjustRightInd/>
              <w:spacing w:line="240" w:lineRule="auto"/>
              <w:jc w:val="left"/>
              <w:textAlignment w:val="auto"/>
              <w:rPr>
                <w:color w:val="000000"/>
                <w:szCs w:val="20"/>
              </w:rPr>
            </w:pPr>
            <w:r w:rsidRPr="00516DB9">
              <w:rPr>
                <w:color w:val="000000"/>
                <w:szCs w:val="20"/>
              </w:rPr>
              <w:t>Částka</w:t>
            </w:r>
          </w:p>
        </w:tc>
      </w:tr>
      <w:tr w:rsidR="0074246D" w:rsidRPr="00DE5E42">
        <w:trPr>
          <w:trHeight w:val="300"/>
        </w:trPr>
        <w:tc>
          <w:tcPr>
            <w:tcW w:w="824" w:type="dxa"/>
            <w:tcBorders>
              <w:top w:val="nil"/>
              <w:left w:val="single" w:sz="4" w:space="0" w:color="auto"/>
              <w:bottom w:val="single" w:sz="4" w:space="0" w:color="auto"/>
              <w:right w:val="single" w:sz="4" w:space="0" w:color="auto"/>
            </w:tcBorders>
            <w:shd w:val="clear" w:color="000000" w:fill="D8D8D8"/>
            <w:noWrap/>
            <w:vAlign w:val="bottom"/>
          </w:tcPr>
          <w:p w:rsidR="0074246D" w:rsidRPr="00516DB9" w:rsidRDefault="0074246D" w:rsidP="00054A2A">
            <w:pPr>
              <w:widowControl/>
              <w:adjustRightInd/>
              <w:spacing w:line="240" w:lineRule="auto"/>
              <w:jc w:val="right"/>
              <w:textAlignment w:val="auto"/>
              <w:rPr>
                <w:color w:val="000000"/>
                <w:szCs w:val="20"/>
              </w:rPr>
            </w:pPr>
            <w:r w:rsidRPr="00516DB9">
              <w:rPr>
                <w:color w:val="000000"/>
                <w:szCs w:val="20"/>
              </w:rPr>
              <w:t>1</w:t>
            </w:r>
          </w:p>
        </w:tc>
        <w:tc>
          <w:tcPr>
            <w:tcW w:w="7360" w:type="dxa"/>
            <w:tcBorders>
              <w:top w:val="nil"/>
              <w:left w:val="nil"/>
              <w:bottom w:val="single" w:sz="4" w:space="0" w:color="auto"/>
              <w:right w:val="single" w:sz="4" w:space="0" w:color="auto"/>
            </w:tcBorders>
            <w:shd w:val="clear" w:color="000000" w:fill="D8D8D8"/>
            <w:noWrap/>
            <w:vAlign w:val="bottom"/>
          </w:tcPr>
          <w:p w:rsidR="0074246D" w:rsidRPr="00516DB9" w:rsidRDefault="0074246D" w:rsidP="00054A2A">
            <w:pPr>
              <w:widowControl/>
              <w:adjustRightInd/>
              <w:spacing w:line="240" w:lineRule="auto"/>
              <w:jc w:val="left"/>
              <w:textAlignment w:val="auto"/>
              <w:rPr>
                <w:color w:val="000000"/>
                <w:szCs w:val="20"/>
              </w:rPr>
            </w:pPr>
            <w:r w:rsidRPr="00516DB9">
              <w:rPr>
                <w:color w:val="000000"/>
                <w:szCs w:val="20"/>
              </w:rPr>
              <w:t>Úhrn příjmů</w:t>
            </w:r>
          </w:p>
        </w:tc>
        <w:tc>
          <w:tcPr>
            <w:tcW w:w="1551" w:type="dxa"/>
            <w:tcBorders>
              <w:top w:val="nil"/>
              <w:left w:val="nil"/>
              <w:bottom w:val="single" w:sz="4" w:space="0" w:color="auto"/>
              <w:right w:val="single" w:sz="4" w:space="0" w:color="auto"/>
            </w:tcBorders>
            <w:shd w:val="clear" w:color="000000" w:fill="D8D8D8"/>
            <w:noWrap/>
            <w:vAlign w:val="bottom"/>
          </w:tcPr>
          <w:p w:rsidR="0074246D" w:rsidRPr="00516DB9" w:rsidRDefault="0074246D" w:rsidP="00054A2A">
            <w:pPr>
              <w:widowControl/>
              <w:adjustRightInd/>
              <w:spacing w:line="240" w:lineRule="auto"/>
              <w:jc w:val="right"/>
              <w:textAlignment w:val="auto"/>
              <w:rPr>
                <w:color w:val="000000"/>
                <w:szCs w:val="20"/>
              </w:rPr>
            </w:pPr>
            <w:r w:rsidRPr="00516DB9">
              <w:rPr>
                <w:color w:val="000000"/>
                <w:szCs w:val="20"/>
              </w:rPr>
              <w:t>260 000</w:t>
            </w:r>
          </w:p>
        </w:tc>
      </w:tr>
      <w:tr w:rsidR="0074246D" w:rsidRPr="00DE5E42">
        <w:trPr>
          <w:trHeight w:val="300"/>
        </w:trPr>
        <w:tc>
          <w:tcPr>
            <w:tcW w:w="824" w:type="dxa"/>
            <w:tcBorders>
              <w:top w:val="nil"/>
              <w:left w:val="single" w:sz="4" w:space="0" w:color="auto"/>
              <w:bottom w:val="single" w:sz="4" w:space="0" w:color="auto"/>
              <w:right w:val="single" w:sz="4" w:space="0" w:color="auto"/>
            </w:tcBorders>
            <w:shd w:val="clear" w:color="000000" w:fill="D8D8D8"/>
            <w:noWrap/>
            <w:vAlign w:val="bottom"/>
          </w:tcPr>
          <w:p w:rsidR="0074246D" w:rsidRPr="00516DB9" w:rsidRDefault="0074246D" w:rsidP="00054A2A">
            <w:pPr>
              <w:widowControl/>
              <w:adjustRightInd/>
              <w:spacing w:line="240" w:lineRule="auto"/>
              <w:jc w:val="right"/>
              <w:textAlignment w:val="auto"/>
              <w:rPr>
                <w:color w:val="000000"/>
                <w:szCs w:val="20"/>
              </w:rPr>
            </w:pPr>
            <w:r w:rsidRPr="00516DB9">
              <w:rPr>
                <w:color w:val="000000"/>
                <w:szCs w:val="20"/>
              </w:rPr>
              <w:t>2</w:t>
            </w:r>
          </w:p>
        </w:tc>
        <w:tc>
          <w:tcPr>
            <w:tcW w:w="7360" w:type="dxa"/>
            <w:tcBorders>
              <w:top w:val="nil"/>
              <w:left w:val="nil"/>
              <w:bottom w:val="single" w:sz="4" w:space="0" w:color="auto"/>
              <w:right w:val="single" w:sz="4" w:space="0" w:color="auto"/>
            </w:tcBorders>
            <w:shd w:val="clear" w:color="000000" w:fill="D8D8D8"/>
            <w:noWrap/>
            <w:vAlign w:val="bottom"/>
          </w:tcPr>
          <w:p w:rsidR="0074246D" w:rsidRPr="00516DB9" w:rsidRDefault="0074246D" w:rsidP="00054A2A">
            <w:pPr>
              <w:widowControl/>
              <w:adjustRightInd/>
              <w:spacing w:line="240" w:lineRule="auto"/>
              <w:jc w:val="left"/>
              <w:textAlignment w:val="auto"/>
              <w:rPr>
                <w:color w:val="000000"/>
                <w:szCs w:val="20"/>
              </w:rPr>
            </w:pPr>
            <w:r w:rsidRPr="00516DB9">
              <w:rPr>
                <w:color w:val="000000"/>
                <w:szCs w:val="20"/>
              </w:rPr>
              <w:t>Plus úhrn pojistného placeného zaměstnavatelem</w:t>
            </w:r>
          </w:p>
        </w:tc>
        <w:tc>
          <w:tcPr>
            <w:tcW w:w="1551" w:type="dxa"/>
            <w:tcBorders>
              <w:top w:val="nil"/>
              <w:left w:val="nil"/>
              <w:bottom w:val="single" w:sz="4" w:space="0" w:color="auto"/>
              <w:right w:val="single" w:sz="4" w:space="0" w:color="auto"/>
            </w:tcBorders>
            <w:shd w:val="clear" w:color="000000" w:fill="D8D8D8"/>
            <w:noWrap/>
            <w:vAlign w:val="bottom"/>
          </w:tcPr>
          <w:p w:rsidR="0074246D" w:rsidRPr="00516DB9" w:rsidRDefault="0074246D" w:rsidP="00054A2A">
            <w:pPr>
              <w:widowControl/>
              <w:adjustRightInd/>
              <w:spacing w:line="240" w:lineRule="auto"/>
              <w:jc w:val="right"/>
              <w:textAlignment w:val="auto"/>
              <w:rPr>
                <w:color w:val="000000"/>
                <w:szCs w:val="20"/>
              </w:rPr>
            </w:pPr>
            <w:r w:rsidRPr="00516DB9">
              <w:rPr>
                <w:color w:val="000000"/>
                <w:szCs w:val="20"/>
              </w:rPr>
              <w:t>91 000</w:t>
            </w:r>
          </w:p>
        </w:tc>
      </w:tr>
      <w:tr w:rsidR="0074246D" w:rsidRPr="00DE5E42">
        <w:trPr>
          <w:trHeight w:val="300"/>
        </w:trPr>
        <w:tc>
          <w:tcPr>
            <w:tcW w:w="824" w:type="dxa"/>
            <w:tcBorders>
              <w:top w:val="nil"/>
              <w:left w:val="single" w:sz="4" w:space="0" w:color="auto"/>
              <w:bottom w:val="single" w:sz="4" w:space="0" w:color="auto"/>
              <w:right w:val="single" w:sz="4" w:space="0" w:color="auto"/>
            </w:tcBorders>
            <w:shd w:val="clear" w:color="000000" w:fill="D8D8D8"/>
            <w:noWrap/>
            <w:vAlign w:val="bottom"/>
          </w:tcPr>
          <w:p w:rsidR="0074246D" w:rsidRPr="00516DB9" w:rsidRDefault="0074246D" w:rsidP="00054A2A">
            <w:pPr>
              <w:widowControl/>
              <w:adjustRightInd/>
              <w:spacing w:line="240" w:lineRule="auto"/>
              <w:jc w:val="right"/>
              <w:textAlignment w:val="auto"/>
              <w:rPr>
                <w:color w:val="000000"/>
                <w:szCs w:val="20"/>
              </w:rPr>
            </w:pPr>
            <w:r w:rsidRPr="00516DB9">
              <w:rPr>
                <w:color w:val="000000"/>
                <w:szCs w:val="20"/>
              </w:rPr>
              <w:t>3</w:t>
            </w:r>
          </w:p>
        </w:tc>
        <w:tc>
          <w:tcPr>
            <w:tcW w:w="7360" w:type="dxa"/>
            <w:tcBorders>
              <w:top w:val="nil"/>
              <w:left w:val="nil"/>
              <w:bottom w:val="single" w:sz="4" w:space="0" w:color="auto"/>
              <w:right w:val="single" w:sz="4" w:space="0" w:color="auto"/>
            </w:tcBorders>
            <w:shd w:val="clear" w:color="000000" w:fill="D8D8D8"/>
            <w:noWrap/>
            <w:vAlign w:val="bottom"/>
          </w:tcPr>
          <w:p w:rsidR="0074246D" w:rsidRPr="00516DB9" w:rsidRDefault="0074246D" w:rsidP="00054A2A">
            <w:pPr>
              <w:widowControl/>
              <w:adjustRightInd/>
              <w:spacing w:line="240" w:lineRule="auto"/>
              <w:jc w:val="left"/>
              <w:textAlignment w:val="auto"/>
              <w:rPr>
                <w:color w:val="000000"/>
                <w:szCs w:val="20"/>
              </w:rPr>
            </w:pPr>
            <w:r w:rsidRPr="00516DB9">
              <w:rPr>
                <w:color w:val="000000"/>
                <w:szCs w:val="20"/>
              </w:rPr>
              <w:t>Roční základ daně</w:t>
            </w:r>
          </w:p>
        </w:tc>
        <w:tc>
          <w:tcPr>
            <w:tcW w:w="1551" w:type="dxa"/>
            <w:tcBorders>
              <w:top w:val="nil"/>
              <w:left w:val="nil"/>
              <w:bottom w:val="single" w:sz="4" w:space="0" w:color="auto"/>
              <w:right w:val="single" w:sz="4" w:space="0" w:color="auto"/>
            </w:tcBorders>
            <w:shd w:val="clear" w:color="000000" w:fill="D8D8D8"/>
            <w:noWrap/>
            <w:vAlign w:val="bottom"/>
          </w:tcPr>
          <w:p w:rsidR="0074246D" w:rsidRPr="00516DB9" w:rsidRDefault="0074246D" w:rsidP="00054A2A">
            <w:pPr>
              <w:widowControl/>
              <w:adjustRightInd/>
              <w:spacing w:line="240" w:lineRule="auto"/>
              <w:jc w:val="right"/>
              <w:textAlignment w:val="auto"/>
              <w:rPr>
                <w:color w:val="000000"/>
                <w:szCs w:val="20"/>
              </w:rPr>
            </w:pPr>
            <w:r w:rsidRPr="00516DB9">
              <w:rPr>
                <w:color w:val="000000"/>
                <w:szCs w:val="20"/>
              </w:rPr>
              <w:t>351 000</w:t>
            </w:r>
          </w:p>
        </w:tc>
      </w:tr>
      <w:tr w:rsidR="0074246D" w:rsidRPr="00DE5E42">
        <w:trPr>
          <w:trHeight w:val="300"/>
        </w:trPr>
        <w:tc>
          <w:tcPr>
            <w:tcW w:w="824" w:type="dxa"/>
            <w:tcBorders>
              <w:top w:val="nil"/>
              <w:left w:val="single" w:sz="4" w:space="0" w:color="auto"/>
              <w:bottom w:val="single" w:sz="4" w:space="0" w:color="auto"/>
              <w:right w:val="single" w:sz="4" w:space="0" w:color="auto"/>
            </w:tcBorders>
            <w:shd w:val="clear" w:color="000000" w:fill="D8D8D8"/>
            <w:noWrap/>
            <w:vAlign w:val="bottom"/>
          </w:tcPr>
          <w:p w:rsidR="0074246D" w:rsidRPr="00516DB9" w:rsidRDefault="0074246D" w:rsidP="00054A2A">
            <w:pPr>
              <w:widowControl/>
              <w:adjustRightInd/>
              <w:spacing w:line="240" w:lineRule="auto"/>
              <w:jc w:val="right"/>
              <w:textAlignment w:val="auto"/>
              <w:rPr>
                <w:color w:val="000000"/>
                <w:szCs w:val="20"/>
              </w:rPr>
            </w:pPr>
            <w:r w:rsidRPr="00516DB9">
              <w:rPr>
                <w:color w:val="000000"/>
                <w:szCs w:val="20"/>
              </w:rPr>
              <w:t>10</w:t>
            </w:r>
          </w:p>
        </w:tc>
        <w:tc>
          <w:tcPr>
            <w:tcW w:w="7360" w:type="dxa"/>
            <w:tcBorders>
              <w:top w:val="nil"/>
              <w:left w:val="nil"/>
              <w:bottom w:val="single" w:sz="4" w:space="0" w:color="auto"/>
              <w:right w:val="single" w:sz="4" w:space="0" w:color="auto"/>
            </w:tcBorders>
            <w:shd w:val="clear" w:color="000000" w:fill="D8D8D8"/>
            <w:noWrap/>
            <w:vAlign w:val="bottom"/>
          </w:tcPr>
          <w:p w:rsidR="0074246D" w:rsidRPr="00516DB9" w:rsidRDefault="0074246D" w:rsidP="00054A2A">
            <w:pPr>
              <w:widowControl/>
              <w:adjustRightInd/>
              <w:spacing w:line="240" w:lineRule="auto"/>
              <w:jc w:val="left"/>
              <w:textAlignment w:val="auto"/>
              <w:rPr>
                <w:color w:val="000000"/>
                <w:szCs w:val="20"/>
              </w:rPr>
            </w:pPr>
            <w:r w:rsidRPr="00516DB9">
              <w:rPr>
                <w:color w:val="000000"/>
                <w:szCs w:val="20"/>
              </w:rPr>
              <w:t>Nezdanitelné částky celkem</w:t>
            </w:r>
          </w:p>
        </w:tc>
        <w:tc>
          <w:tcPr>
            <w:tcW w:w="1551" w:type="dxa"/>
            <w:tcBorders>
              <w:top w:val="nil"/>
              <w:left w:val="nil"/>
              <w:bottom w:val="single" w:sz="4" w:space="0" w:color="auto"/>
              <w:right w:val="single" w:sz="4" w:space="0" w:color="auto"/>
            </w:tcBorders>
            <w:shd w:val="clear" w:color="000000" w:fill="D8D8D8"/>
            <w:noWrap/>
            <w:vAlign w:val="bottom"/>
          </w:tcPr>
          <w:p w:rsidR="0074246D" w:rsidRPr="00516DB9" w:rsidRDefault="0074246D" w:rsidP="00054A2A">
            <w:pPr>
              <w:widowControl/>
              <w:adjustRightInd/>
              <w:spacing w:line="240" w:lineRule="auto"/>
              <w:jc w:val="right"/>
              <w:textAlignment w:val="auto"/>
              <w:rPr>
                <w:color w:val="000000"/>
                <w:szCs w:val="20"/>
              </w:rPr>
            </w:pPr>
            <w:r w:rsidRPr="00516DB9">
              <w:rPr>
                <w:color w:val="000000"/>
                <w:szCs w:val="20"/>
              </w:rPr>
              <w:t>5 000</w:t>
            </w:r>
          </w:p>
        </w:tc>
      </w:tr>
      <w:tr w:rsidR="0074246D" w:rsidRPr="00DE5E42">
        <w:trPr>
          <w:trHeight w:val="300"/>
        </w:trPr>
        <w:tc>
          <w:tcPr>
            <w:tcW w:w="824" w:type="dxa"/>
            <w:tcBorders>
              <w:top w:val="nil"/>
              <w:left w:val="single" w:sz="4" w:space="0" w:color="auto"/>
              <w:bottom w:val="single" w:sz="4" w:space="0" w:color="auto"/>
              <w:right w:val="single" w:sz="4" w:space="0" w:color="auto"/>
            </w:tcBorders>
            <w:shd w:val="clear" w:color="000000" w:fill="D8D8D8"/>
            <w:noWrap/>
            <w:vAlign w:val="bottom"/>
          </w:tcPr>
          <w:p w:rsidR="0074246D" w:rsidRPr="00516DB9" w:rsidRDefault="0074246D" w:rsidP="00054A2A">
            <w:pPr>
              <w:widowControl/>
              <w:adjustRightInd/>
              <w:spacing w:line="240" w:lineRule="auto"/>
              <w:jc w:val="right"/>
              <w:textAlignment w:val="auto"/>
              <w:rPr>
                <w:color w:val="000000"/>
                <w:szCs w:val="20"/>
              </w:rPr>
            </w:pPr>
            <w:r w:rsidRPr="00516DB9">
              <w:rPr>
                <w:color w:val="000000"/>
                <w:szCs w:val="20"/>
              </w:rPr>
              <w:t>11</w:t>
            </w:r>
          </w:p>
        </w:tc>
        <w:tc>
          <w:tcPr>
            <w:tcW w:w="7360" w:type="dxa"/>
            <w:tcBorders>
              <w:top w:val="nil"/>
              <w:left w:val="nil"/>
              <w:bottom w:val="single" w:sz="4" w:space="0" w:color="auto"/>
              <w:right w:val="single" w:sz="4" w:space="0" w:color="auto"/>
            </w:tcBorders>
            <w:shd w:val="clear" w:color="000000" w:fill="D8D8D8"/>
            <w:noWrap/>
            <w:vAlign w:val="bottom"/>
          </w:tcPr>
          <w:p w:rsidR="0074246D" w:rsidRPr="00516DB9" w:rsidRDefault="0074246D" w:rsidP="00054A2A">
            <w:pPr>
              <w:widowControl/>
              <w:adjustRightInd/>
              <w:spacing w:line="240" w:lineRule="auto"/>
              <w:jc w:val="left"/>
              <w:textAlignment w:val="auto"/>
              <w:rPr>
                <w:color w:val="000000"/>
                <w:szCs w:val="20"/>
              </w:rPr>
            </w:pPr>
            <w:r w:rsidRPr="00516DB9">
              <w:rPr>
                <w:color w:val="000000"/>
                <w:szCs w:val="20"/>
              </w:rPr>
              <w:t>Základ daně snížený o nezdanitelné částky, zaokrouhlený na celé 100 Kč dolů</w:t>
            </w:r>
          </w:p>
        </w:tc>
        <w:tc>
          <w:tcPr>
            <w:tcW w:w="1551" w:type="dxa"/>
            <w:tcBorders>
              <w:top w:val="nil"/>
              <w:left w:val="nil"/>
              <w:bottom w:val="single" w:sz="4" w:space="0" w:color="auto"/>
              <w:right w:val="single" w:sz="4" w:space="0" w:color="auto"/>
            </w:tcBorders>
            <w:shd w:val="clear" w:color="000000" w:fill="D8D8D8"/>
            <w:noWrap/>
            <w:vAlign w:val="bottom"/>
          </w:tcPr>
          <w:p w:rsidR="0074246D" w:rsidRPr="00516DB9" w:rsidRDefault="0074246D" w:rsidP="00054A2A">
            <w:pPr>
              <w:widowControl/>
              <w:adjustRightInd/>
              <w:spacing w:line="240" w:lineRule="auto"/>
              <w:jc w:val="right"/>
              <w:textAlignment w:val="auto"/>
              <w:rPr>
                <w:color w:val="000000"/>
                <w:szCs w:val="20"/>
              </w:rPr>
            </w:pPr>
            <w:r w:rsidRPr="00516DB9">
              <w:rPr>
                <w:color w:val="000000"/>
                <w:szCs w:val="20"/>
              </w:rPr>
              <w:t>346 000</w:t>
            </w:r>
          </w:p>
        </w:tc>
      </w:tr>
      <w:tr w:rsidR="0074246D" w:rsidRPr="00DE5E42">
        <w:trPr>
          <w:trHeight w:val="300"/>
        </w:trPr>
        <w:tc>
          <w:tcPr>
            <w:tcW w:w="824" w:type="dxa"/>
            <w:tcBorders>
              <w:top w:val="nil"/>
              <w:left w:val="single" w:sz="4" w:space="0" w:color="auto"/>
              <w:bottom w:val="single" w:sz="4" w:space="0" w:color="auto"/>
              <w:right w:val="single" w:sz="4" w:space="0" w:color="auto"/>
            </w:tcBorders>
            <w:shd w:val="clear" w:color="000000" w:fill="D8D8D8"/>
            <w:noWrap/>
            <w:vAlign w:val="bottom"/>
          </w:tcPr>
          <w:p w:rsidR="0074246D" w:rsidRPr="00516DB9" w:rsidRDefault="0074246D" w:rsidP="00054A2A">
            <w:pPr>
              <w:widowControl/>
              <w:adjustRightInd/>
              <w:spacing w:line="240" w:lineRule="auto"/>
              <w:jc w:val="right"/>
              <w:textAlignment w:val="auto"/>
              <w:rPr>
                <w:color w:val="000000"/>
                <w:szCs w:val="20"/>
              </w:rPr>
            </w:pPr>
            <w:r w:rsidRPr="00516DB9">
              <w:rPr>
                <w:color w:val="000000"/>
                <w:szCs w:val="20"/>
              </w:rPr>
              <w:t>12</w:t>
            </w:r>
          </w:p>
        </w:tc>
        <w:tc>
          <w:tcPr>
            <w:tcW w:w="7360" w:type="dxa"/>
            <w:tcBorders>
              <w:top w:val="nil"/>
              <w:left w:val="nil"/>
              <w:bottom w:val="single" w:sz="4" w:space="0" w:color="auto"/>
              <w:right w:val="single" w:sz="4" w:space="0" w:color="auto"/>
            </w:tcBorders>
            <w:shd w:val="clear" w:color="000000" w:fill="D8D8D8"/>
            <w:noWrap/>
            <w:vAlign w:val="bottom"/>
          </w:tcPr>
          <w:p w:rsidR="0074246D" w:rsidRPr="00516DB9" w:rsidRDefault="0074246D" w:rsidP="00054A2A">
            <w:pPr>
              <w:widowControl/>
              <w:adjustRightInd/>
              <w:spacing w:line="240" w:lineRule="auto"/>
              <w:jc w:val="left"/>
              <w:textAlignment w:val="auto"/>
              <w:rPr>
                <w:color w:val="000000"/>
                <w:szCs w:val="20"/>
              </w:rPr>
            </w:pPr>
            <w:r w:rsidRPr="00516DB9">
              <w:rPr>
                <w:color w:val="000000"/>
                <w:szCs w:val="20"/>
              </w:rPr>
              <w:t>"Vypočtená" daň - 15 %</w:t>
            </w:r>
          </w:p>
        </w:tc>
        <w:tc>
          <w:tcPr>
            <w:tcW w:w="1551" w:type="dxa"/>
            <w:tcBorders>
              <w:top w:val="nil"/>
              <w:left w:val="nil"/>
              <w:bottom w:val="single" w:sz="4" w:space="0" w:color="auto"/>
              <w:right w:val="single" w:sz="4" w:space="0" w:color="auto"/>
            </w:tcBorders>
            <w:shd w:val="clear" w:color="000000" w:fill="D8D8D8"/>
            <w:noWrap/>
            <w:vAlign w:val="bottom"/>
          </w:tcPr>
          <w:p w:rsidR="0074246D" w:rsidRPr="00516DB9" w:rsidRDefault="0074246D" w:rsidP="00054A2A">
            <w:pPr>
              <w:widowControl/>
              <w:adjustRightInd/>
              <w:spacing w:line="240" w:lineRule="auto"/>
              <w:jc w:val="right"/>
              <w:textAlignment w:val="auto"/>
              <w:rPr>
                <w:color w:val="000000"/>
                <w:szCs w:val="20"/>
              </w:rPr>
            </w:pPr>
            <w:r w:rsidRPr="00516DB9">
              <w:rPr>
                <w:color w:val="000000"/>
                <w:szCs w:val="20"/>
              </w:rPr>
              <w:t>51 900</w:t>
            </w:r>
          </w:p>
        </w:tc>
      </w:tr>
      <w:tr w:rsidR="0074246D" w:rsidRPr="00DE5E42">
        <w:trPr>
          <w:trHeight w:val="300"/>
        </w:trPr>
        <w:tc>
          <w:tcPr>
            <w:tcW w:w="824" w:type="dxa"/>
            <w:tcBorders>
              <w:top w:val="nil"/>
              <w:left w:val="single" w:sz="4" w:space="0" w:color="auto"/>
              <w:bottom w:val="single" w:sz="4" w:space="0" w:color="auto"/>
              <w:right w:val="single" w:sz="4" w:space="0" w:color="auto"/>
            </w:tcBorders>
            <w:shd w:val="clear" w:color="000000" w:fill="D8D8D8"/>
            <w:noWrap/>
            <w:vAlign w:val="bottom"/>
          </w:tcPr>
          <w:p w:rsidR="0074246D" w:rsidRPr="00516DB9" w:rsidRDefault="0074246D" w:rsidP="00054A2A">
            <w:pPr>
              <w:widowControl/>
              <w:adjustRightInd/>
              <w:spacing w:line="240" w:lineRule="auto"/>
              <w:jc w:val="right"/>
              <w:textAlignment w:val="auto"/>
              <w:rPr>
                <w:color w:val="000000"/>
                <w:szCs w:val="20"/>
              </w:rPr>
            </w:pPr>
            <w:r w:rsidRPr="00516DB9">
              <w:rPr>
                <w:color w:val="000000"/>
                <w:szCs w:val="20"/>
              </w:rPr>
              <w:t>19</w:t>
            </w:r>
          </w:p>
        </w:tc>
        <w:tc>
          <w:tcPr>
            <w:tcW w:w="7360" w:type="dxa"/>
            <w:tcBorders>
              <w:top w:val="nil"/>
              <w:left w:val="nil"/>
              <w:bottom w:val="single" w:sz="4" w:space="0" w:color="auto"/>
              <w:right w:val="single" w:sz="4" w:space="0" w:color="auto"/>
            </w:tcBorders>
            <w:shd w:val="clear" w:color="000000" w:fill="D8D8D8"/>
            <w:noWrap/>
            <w:vAlign w:val="bottom"/>
          </w:tcPr>
          <w:p w:rsidR="0074246D" w:rsidRPr="00516DB9" w:rsidRDefault="0074246D" w:rsidP="00054A2A">
            <w:pPr>
              <w:widowControl/>
              <w:adjustRightInd/>
              <w:spacing w:line="240" w:lineRule="auto"/>
              <w:jc w:val="left"/>
              <w:textAlignment w:val="auto"/>
              <w:rPr>
                <w:color w:val="000000"/>
                <w:szCs w:val="20"/>
              </w:rPr>
            </w:pPr>
            <w:r w:rsidRPr="00516DB9">
              <w:rPr>
                <w:color w:val="000000"/>
                <w:szCs w:val="20"/>
              </w:rPr>
              <w:t>Slevy z roční "vypočtené" daně</w:t>
            </w:r>
          </w:p>
        </w:tc>
        <w:tc>
          <w:tcPr>
            <w:tcW w:w="1551" w:type="dxa"/>
            <w:tcBorders>
              <w:top w:val="nil"/>
              <w:left w:val="nil"/>
              <w:bottom w:val="single" w:sz="4" w:space="0" w:color="auto"/>
              <w:right w:val="single" w:sz="4" w:space="0" w:color="auto"/>
            </w:tcBorders>
            <w:shd w:val="clear" w:color="000000" w:fill="D8D8D8"/>
            <w:noWrap/>
            <w:vAlign w:val="bottom"/>
          </w:tcPr>
          <w:p w:rsidR="0074246D" w:rsidRPr="00516DB9" w:rsidRDefault="00C042C5" w:rsidP="00E44AA6">
            <w:pPr>
              <w:widowControl/>
              <w:adjustRightInd/>
              <w:spacing w:line="240" w:lineRule="auto"/>
              <w:jc w:val="right"/>
              <w:textAlignment w:val="auto"/>
              <w:rPr>
                <w:color w:val="000000"/>
                <w:szCs w:val="20"/>
              </w:rPr>
            </w:pPr>
            <w:r>
              <w:rPr>
                <w:color w:val="000000"/>
                <w:szCs w:val="20"/>
              </w:rPr>
              <w:t>24 84</w:t>
            </w:r>
            <w:r w:rsidR="00E44AA6">
              <w:rPr>
                <w:color w:val="000000"/>
                <w:szCs w:val="20"/>
              </w:rPr>
              <w:t>0</w:t>
            </w:r>
          </w:p>
        </w:tc>
      </w:tr>
      <w:tr w:rsidR="0074246D" w:rsidRPr="00DE5E42">
        <w:trPr>
          <w:trHeight w:val="300"/>
        </w:trPr>
        <w:tc>
          <w:tcPr>
            <w:tcW w:w="824" w:type="dxa"/>
            <w:tcBorders>
              <w:top w:val="nil"/>
              <w:left w:val="single" w:sz="4" w:space="0" w:color="auto"/>
              <w:bottom w:val="single" w:sz="4" w:space="0" w:color="auto"/>
              <w:right w:val="single" w:sz="4" w:space="0" w:color="auto"/>
            </w:tcBorders>
            <w:shd w:val="clear" w:color="000000" w:fill="D8D8D8"/>
            <w:noWrap/>
            <w:vAlign w:val="bottom"/>
          </w:tcPr>
          <w:p w:rsidR="0074246D" w:rsidRPr="00516DB9" w:rsidRDefault="0074246D" w:rsidP="00054A2A">
            <w:pPr>
              <w:widowControl/>
              <w:adjustRightInd/>
              <w:spacing w:line="240" w:lineRule="auto"/>
              <w:jc w:val="right"/>
              <w:textAlignment w:val="auto"/>
              <w:rPr>
                <w:color w:val="000000"/>
                <w:szCs w:val="20"/>
              </w:rPr>
            </w:pPr>
            <w:r w:rsidRPr="00516DB9">
              <w:rPr>
                <w:color w:val="000000"/>
                <w:szCs w:val="20"/>
              </w:rPr>
              <w:t>20</w:t>
            </w:r>
          </w:p>
        </w:tc>
        <w:tc>
          <w:tcPr>
            <w:tcW w:w="7360" w:type="dxa"/>
            <w:tcBorders>
              <w:top w:val="nil"/>
              <w:left w:val="nil"/>
              <w:bottom w:val="single" w:sz="4" w:space="0" w:color="auto"/>
              <w:right w:val="single" w:sz="4" w:space="0" w:color="auto"/>
            </w:tcBorders>
            <w:shd w:val="clear" w:color="000000" w:fill="D8D8D8"/>
            <w:noWrap/>
            <w:vAlign w:val="bottom"/>
          </w:tcPr>
          <w:p w:rsidR="0074246D" w:rsidRPr="00516DB9" w:rsidRDefault="0074246D" w:rsidP="00054A2A">
            <w:pPr>
              <w:widowControl/>
              <w:adjustRightInd/>
              <w:spacing w:line="240" w:lineRule="auto"/>
              <w:jc w:val="left"/>
              <w:textAlignment w:val="auto"/>
              <w:rPr>
                <w:color w:val="000000"/>
                <w:szCs w:val="20"/>
              </w:rPr>
            </w:pPr>
            <w:r w:rsidRPr="00516DB9">
              <w:rPr>
                <w:color w:val="000000"/>
                <w:szCs w:val="20"/>
              </w:rPr>
              <w:t>Roční daň po snížení o slevy</w:t>
            </w:r>
          </w:p>
        </w:tc>
        <w:tc>
          <w:tcPr>
            <w:tcW w:w="1551" w:type="dxa"/>
            <w:tcBorders>
              <w:top w:val="nil"/>
              <w:left w:val="nil"/>
              <w:bottom w:val="single" w:sz="4" w:space="0" w:color="auto"/>
              <w:right w:val="single" w:sz="4" w:space="0" w:color="auto"/>
            </w:tcBorders>
            <w:shd w:val="clear" w:color="000000" w:fill="D8D8D8"/>
            <w:noWrap/>
            <w:vAlign w:val="bottom"/>
          </w:tcPr>
          <w:p w:rsidR="0074246D" w:rsidRPr="00516DB9" w:rsidRDefault="00C042C5" w:rsidP="00E44AA6">
            <w:pPr>
              <w:widowControl/>
              <w:adjustRightInd/>
              <w:spacing w:line="240" w:lineRule="auto"/>
              <w:jc w:val="right"/>
              <w:textAlignment w:val="auto"/>
              <w:rPr>
                <w:b/>
                <w:color w:val="000000"/>
                <w:szCs w:val="20"/>
              </w:rPr>
            </w:pPr>
            <w:r>
              <w:rPr>
                <w:b/>
                <w:color w:val="000000"/>
                <w:szCs w:val="20"/>
              </w:rPr>
              <w:t>27 0</w:t>
            </w:r>
            <w:r w:rsidR="00E44AA6">
              <w:rPr>
                <w:b/>
                <w:color w:val="000000"/>
                <w:szCs w:val="20"/>
              </w:rPr>
              <w:t>60</w:t>
            </w:r>
          </w:p>
        </w:tc>
      </w:tr>
      <w:tr w:rsidR="0074246D" w:rsidRPr="00DE5E42">
        <w:trPr>
          <w:trHeight w:val="300"/>
        </w:trPr>
        <w:tc>
          <w:tcPr>
            <w:tcW w:w="824" w:type="dxa"/>
            <w:tcBorders>
              <w:top w:val="nil"/>
              <w:left w:val="single" w:sz="4" w:space="0" w:color="auto"/>
              <w:bottom w:val="single" w:sz="4" w:space="0" w:color="auto"/>
              <w:right w:val="single" w:sz="4" w:space="0" w:color="auto"/>
            </w:tcBorders>
            <w:shd w:val="clear" w:color="000000" w:fill="D8D8D8"/>
            <w:noWrap/>
            <w:vAlign w:val="bottom"/>
          </w:tcPr>
          <w:p w:rsidR="0074246D" w:rsidRPr="00516DB9" w:rsidRDefault="0074246D" w:rsidP="00054A2A">
            <w:pPr>
              <w:widowControl/>
              <w:adjustRightInd/>
              <w:spacing w:line="240" w:lineRule="auto"/>
              <w:jc w:val="right"/>
              <w:textAlignment w:val="auto"/>
              <w:rPr>
                <w:color w:val="000000"/>
                <w:szCs w:val="20"/>
              </w:rPr>
            </w:pPr>
            <w:r w:rsidRPr="00516DB9">
              <w:rPr>
                <w:color w:val="000000"/>
                <w:szCs w:val="20"/>
              </w:rPr>
              <w:t>21</w:t>
            </w:r>
          </w:p>
        </w:tc>
        <w:tc>
          <w:tcPr>
            <w:tcW w:w="7360" w:type="dxa"/>
            <w:tcBorders>
              <w:top w:val="nil"/>
              <w:left w:val="nil"/>
              <w:bottom w:val="single" w:sz="4" w:space="0" w:color="auto"/>
              <w:right w:val="single" w:sz="4" w:space="0" w:color="auto"/>
            </w:tcBorders>
            <w:shd w:val="clear" w:color="000000" w:fill="D8D8D8"/>
            <w:noWrap/>
            <w:vAlign w:val="bottom"/>
          </w:tcPr>
          <w:p w:rsidR="0074246D" w:rsidRPr="00516DB9" w:rsidRDefault="0074246D" w:rsidP="00054A2A">
            <w:pPr>
              <w:widowControl/>
              <w:adjustRightInd/>
              <w:spacing w:line="240" w:lineRule="auto"/>
              <w:jc w:val="left"/>
              <w:textAlignment w:val="auto"/>
              <w:rPr>
                <w:color w:val="000000"/>
                <w:szCs w:val="20"/>
              </w:rPr>
            </w:pPr>
            <w:r w:rsidRPr="00516DB9">
              <w:rPr>
                <w:color w:val="000000"/>
                <w:szCs w:val="20"/>
              </w:rPr>
              <w:t>Úhrn sražených záloh na daň</w:t>
            </w:r>
          </w:p>
        </w:tc>
        <w:tc>
          <w:tcPr>
            <w:tcW w:w="1551" w:type="dxa"/>
            <w:tcBorders>
              <w:top w:val="nil"/>
              <w:left w:val="nil"/>
              <w:bottom w:val="single" w:sz="4" w:space="0" w:color="auto"/>
              <w:right w:val="single" w:sz="4" w:space="0" w:color="auto"/>
            </w:tcBorders>
            <w:shd w:val="clear" w:color="000000" w:fill="D8D8D8"/>
            <w:noWrap/>
            <w:vAlign w:val="bottom"/>
          </w:tcPr>
          <w:p w:rsidR="0074246D" w:rsidRPr="00516DB9" w:rsidRDefault="00C042C5" w:rsidP="00054A2A">
            <w:pPr>
              <w:widowControl/>
              <w:adjustRightInd/>
              <w:spacing w:line="240" w:lineRule="auto"/>
              <w:jc w:val="right"/>
              <w:textAlignment w:val="auto"/>
              <w:rPr>
                <w:b/>
                <w:color w:val="000000"/>
                <w:szCs w:val="20"/>
              </w:rPr>
            </w:pPr>
            <w:r>
              <w:rPr>
                <w:b/>
                <w:color w:val="000000"/>
                <w:szCs w:val="20"/>
              </w:rPr>
              <w:t>27 500</w:t>
            </w:r>
          </w:p>
        </w:tc>
      </w:tr>
      <w:tr w:rsidR="0074246D" w:rsidRPr="00DE5E42">
        <w:trPr>
          <w:trHeight w:val="300"/>
        </w:trPr>
        <w:tc>
          <w:tcPr>
            <w:tcW w:w="824" w:type="dxa"/>
            <w:tcBorders>
              <w:top w:val="nil"/>
              <w:left w:val="single" w:sz="4" w:space="0" w:color="auto"/>
              <w:bottom w:val="single" w:sz="4" w:space="0" w:color="auto"/>
              <w:right w:val="single" w:sz="4" w:space="0" w:color="auto"/>
            </w:tcBorders>
            <w:shd w:val="clear" w:color="000000" w:fill="D8D8D8"/>
            <w:noWrap/>
            <w:vAlign w:val="bottom"/>
          </w:tcPr>
          <w:p w:rsidR="0074246D" w:rsidRPr="00516DB9" w:rsidRDefault="0074246D" w:rsidP="00054A2A">
            <w:pPr>
              <w:widowControl/>
              <w:adjustRightInd/>
              <w:spacing w:line="240" w:lineRule="auto"/>
              <w:jc w:val="right"/>
              <w:textAlignment w:val="auto"/>
              <w:rPr>
                <w:color w:val="000000"/>
                <w:szCs w:val="20"/>
              </w:rPr>
            </w:pPr>
            <w:r w:rsidRPr="00516DB9">
              <w:rPr>
                <w:color w:val="000000"/>
                <w:szCs w:val="20"/>
              </w:rPr>
              <w:t>22</w:t>
            </w:r>
          </w:p>
        </w:tc>
        <w:tc>
          <w:tcPr>
            <w:tcW w:w="7360" w:type="dxa"/>
            <w:tcBorders>
              <w:top w:val="nil"/>
              <w:left w:val="nil"/>
              <w:bottom w:val="single" w:sz="4" w:space="0" w:color="auto"/>
              <w:right w:val="single" w:sz="4" w:space="0" w:color="auto"/>
            </w:tcBorders>
            <w:shd w:val="clear" w:color="000000" w:fill="D8D8D8"/>
            <w:noWrap/>
            <w:vAlign w:val="bottom"/>
          </w:tcPr>
          <w:p w:rsidR="0074246D" w:rsidRPr="00516DB9" w:rsidRDefault="0074246D" w:rsidP="00054A2A">
            <w:pPr>
              <w:widowControl/>
              <w:adjustRightInd/>
              <w:spacing w:line="240" w:lineRule="auto"/>
              <w:jc w:val="left"/>
              <w:textAlignment w:val="auto"/>
              <w:rPr>
                <w:color w:val="000000"/>
                <w:szCs w:val="20"/>
              </w:rPr>
            </w:pPr>
            <w:r w:rsidRPr="00516DB9">
              <w:rPr>
                <w:color w:val="000000"/>
                <w:szCs w:val="20"/>
              </w:rPr>
              <w:t>Přeplatek/nedoplatek</w:t>
            </w:r>
          </w:p>
        </w:tc>
        <w:tc>
          <w:tcPr>
            <w:tcW w:w="1551" w:type="dxa"/>
            <w:tcBorders>
              <w:top w:val="nil"/>
              <w:left w:val="nil"/>
              <w:bottom w:val="single" w:sz="4" w:space="0" w:color="auto"/>
              <w:right w:val="single" w:sz="4" w:space="0" w:color="auto"/>
            </w:tcBorders>
            <w:shd w:val="clear" w:color="000000" w:fill="D8D8D8"/>
            <w:noWrap/>
            <w:vAlign w:val="bottom"/>
          </w:tcPr>
          <w:p w:rsidR="0074246D" w:rsidRPr="00516DB9" w:rsidRDefault="00C042C5" w:rsidP="00E44AA6">
            <w:pPr>
              <w:widowControl/>
              <w:adjustRightInd/>
              <w:spacing w:line="240" w:lineRule="auto"/>
              <w:jc w:val="right"/>
              <w:textAlignment w:val="auto"/>
              <w:rPr>
                <w:b/>
                <w:color w:val="000000"/>
                <w:szCs w:val="20"/>
              </w:rPr>
            </w:pPr>
            <w:r>
              <w:rPr>
                <w:b/>
                <w:color w:val="000000"/>
                <w:szCs w:val="20"/>
              </w:rPr>
              <w:t>4</w:t>
            </w:r>
            <w:r w:rsidR="00E44AA6">
              <w:rPr>
                <w:b/>
                <w:color w:val="000000"/>
                <w:szCs w:val="20"/>
              </w:rPr>
              <w:t>40</w:t>
            </w:r>
          </w:p>
        </w:tc>
      </w:tr>
    </w:tbl>
    <w:p w:rsidR="0074246D" w:rsidRDefault="0074246D" w:rsidP="0074246D"/>
    <w:p w:rsidR="0074246D" w:rsidRPr="00403C05" w:rsidRDefault="0074246D" w:rsidP="0074246D">
      <w:r>
        <w:br w:type="page"/>
      </w:r>
    </w:p>
    <w:p w:rsidR="0074246D" w:rsidRDefault="0074246D" w:rsidP="0074246D">
      <w:pPr>
        <w:pStyle w:val="Nadpis2"/>
        <w:widowControl/>
        <w:numPr>
          <w:ilvl w:val="1"/>
          <w:numId w:val="1"/>
        </w:numPr>
        <w:adjustRightInd/>
        <w:spacing w:line="240" w:lineRule="auto"/>
        <w:jc w:val="left"/>
        <w:textAlignment w:val="auto"/>
      </w:pPr>
      <w:bookmarkStart w:id="78" w:name="_Toc376422282"/>
      <w:bookmarkStart w:id="79" w:name="_Toc125698110"/>
      <w:bookmarkStart w:id="80" w:name="_Toc156581103"/>
      <w:bookmarkStart w:id="81" w:name="_Toc156581319"/>
      <w:bookmarkStart w:id="82" w:name="_Toc156581412"/>
      <w:bookmarkStart w:id="83" w:name="_Toc156620252"/>
      <w:bookmarkStart w:id="84" w:name="_Toc156620318"/>
      <w:bookmarkStart w:id="85" w:name="_Toc187638209"/>
      <w:r>
        <w:lastRenderedPageBreak/>
        <w:t>Princip výpočtu -  s daňovým zvýhodněním</w:t>
      </w:r>
      <w:bookmarkEnd w:id="78"/>
    </w:p>
    <w:p w:rsidR="0074246D" w:rsidRPr="001C3DC4" w:rsidRDefault="0074246D" w:rsidP="0074246D">
      <w:r w:rsidRPr="001C3DC4">
        <w:t xml:space="preserve">Zaměstnanec uplatňuje základní slevu na poplatníka ve výši </w:t>
      </w:r>
      <w:r w:rsidRPr="001C3DC4">
        <w:rPr>
          <w:b/>
        </w:rPr>
        <w:t>24 840 Kč</w:t>
      </w:r>
      <w:r w:rsidRPr="001C3DC4">
        <w:t xml:space="preserve"> a daňové zvýhodnění na dvě děti, tzn. </w:t>
      </w:r>
      <w:r w:rsidR="00DC6306">
        <w:rPr>
          <w:b/>
        </w:rPr>
        <w:t>26 808</w:t>
      </w:r>
      <w:r w:rsidRPr="001C3DC4">
        <w:rPr>
          <w:b/>
        </w:rPr>
        <w:t xml:space="preserve"> Kč</w:t>
      </w:r>
      <w:r w:rsidRPr="001C3DC4">
        <w:t xml:space="preserve"> a</w:t>
      </w:r>
    </w:p>
    <w:p w:rsidR="0074246D" w:rsidRPr="001C3DC4" w:rsidRDefault="0074246D" w:rsidP="0074246D"/>
    <w:tbl>
      <w:tblPr>
        <w:tblW w:w="9735" w:type="dxa"/>
        <w:tblInd w:w="55" w:type="dxa"/>
        <w:tblCellMar>
          <w:left w:w="70" w:type="dxa"/>
          <w:right w:w="70" w:type="dxa"/>
        </w:tblCellMar>
        <w:tblLook w:val="04A0" w:firstRow="1" w:lastRow="0" w:firstColumn="1" w:lastColumn="0" w:noHBand="0" w:noVBand="1"/>
      </w:tblPr>
      <w:tblGrid>
        <w:gridCol w:w="824"/>
        <w:gridCol w:w="7360"/>
        <w:gridCol w:w="1551"/>
      </w:tblGrid>
      <w:tr w:rsidR="0074246D" w:rsidRPr="00A05BB8">
        <w:trPr>
          <w:trHeight w:val="300"/>
        </w:trPr>
        <w:tc>
          <w:tcPr>
            <w:tcW w:w="824"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74246D" w:rsidRPr="00A05BB8" w:rsidRDefault="0074246D" w:rsidP="00054A2A">
            <w:pPr>
              <w:widowControl/>
              <w:adjustRightInd/>
              <w:spacing w:line="240" w:lineRule="auto"/>
              <w:jc w:val="left"/>
              <w:textAlignment w:val="auto"/>
              <w:rPr>
                <w:color w:val="000000"/>
                <w:szCs w:val="20"/>
              </w:rPr>
            </w:pPr>
            <w:r w:rsidRPr="00A05BB8">
              <w:rPr>
                <w:color w:val="000000"/>
                <w:szCs w:val="20"/>
              </w:rPr>
              <w:t>Řádek</w:t>
            </w:r>
          </w:p>
        </w:tc>
        <w:tc>
          <w:tcPr>
            <w:tcW w:w="7360" w:type="dxa"/>
            <w:tcBorders>
              <w:top w:val="single" w:sz="4" w:space="0" w:color="auto"/>
              <w:left w:val="nil"/>
              <w:bottom w:val="single" w:sz="4" w:space="0" w:color="auto"/>
              <w:right w:val="single" w:sz="4" w:space="0" w:color="auto"/>
            </w:tcBorders>
            <w:shd w:val="clear" w:color="000000" w:fill="D8D8D8"/>
            <w:noWrap/>
            <w:vAlign w:val="bottom"/>
          </w:tcPr>
          <w:p w:rsidR="0074246D" w:rsidRPr="00A05BB8" w:rsidRDefault="0074246D" w:rsidP="00054A2A">
            <w:pPr>
              <w:widowControl/>
              <w:adjustRightInd/>
              <w:spacing w:line="240" w:lineRule="auto"/>
              <w:jc w:val="left"/>
              <w:textAlignment w:val="auto"/>
              <w:rPr>
                <w:color w:val="000000"/>
                <w:szCs w:val="20"/>
              </w:rPr>
            </w:pPr>
            <w:r w:rsidRPr="00A05BB8">
              <w:rPr>
                <w:color w:val="000000"/>
                <w:szCs w:val="20"/>
              </w:rPr>
              <w:t> </w:t>
            </w:r>
          </w:p>
        </w:tc>
        <w:tc>
          <w:tcPr>
            <w:tcW w:w="1551" w:type="dxa"/>
            <w:tcBorders>
              <w:top w:val="single" w:sz="4" w:space="0" w:color="auto"/>
              <w:left w:val="nil"/>
              <w:bottom w:val="single" w:sz="4" w:space="0" w:color="auto"/>
              <w:right w:val="single" w:sz="4" w:space="0" w:color="auto"/>
            </w:tcBorders>
            <w:shd w:val="clear" w:color="000000" w:fill="D8D8D8"/>
            <w:noWrap/>
            <w:vAlign w:val="bottom"/>
          </w:tcPr>
          <w:p w:rsidR="0074246D" w:rsidRPr="00A05BB8" w:rsidRDefault="0074246D" w:rsidP="00054A2A">
            <w:pPr>
              <w:widowControl/>
              <w:adjustRightInd/>
              <w:spacing w:line="240" w:lineRule="auto"/>
              <w:jc w:val="left"/>
              <w:textAlignment w:val="auto"/>
              <w:rPr>
                <w:color w:val="000000"/>
                <w:szCs w:val="20"/>
              </w:rPr>
            </w:pPr>
            <w:r w:rsidRPr="00A05BB8">
              <w:rPr>
                <w:color w:val="000000"/>
                <w:szCs w:val="20"/>
              </w:rPr>
              <w:t>Částka</w:t>
            </w:r>
          </w:p>
        </w:tc>
      </w:tr>
      <w:tr w:rsidR="0074246D" w:rsidRPr="00A05BB8">
        <w:trPr>
          <w:trHeight w:val="300"/>
        </w:trPr>
        <w:tc>
          <w:tcPr>
            <w:tcW w:w="824" w:type="dxa"/>
            <w:tcBorders>
              <w:top w:val="nil"/>
              <w:left w:val="single" w:sz="4" w:space="0" w:color="auto"/>
              <w:bottom w:val="single" w:sz="4" w:space="0" w:color="auto"/>
              <w:right w:val="single" w:sz="4" w:space="0" w:color="auto"/>
            </w:tcBorders>
            <w:shd w:val="clear" w:color="000000" w:fill="D8D8D8"/>
            <w:noWrap/>
            <w:vAlign w:val="bottom"/>
          </w:tcPr>
          <w:p w:rsidR="0074246D" w:rsidRPr="00A05BB8" w:rsidRDefault="0074246D" w:rsidP="00054A2A">
            <w:pPr>
              <w:widowControl/>
              <w:adjustRightInd/>
              <w:spacing w:line="240" w:lineRule="auto"/>
              <w:jc w:val="right"/>
              <w:textAlignment w:val="auto"/>
              <w:rPr>
                <w:color w:val="000000"/>
                <w:szCs w:val="20"/>
              </w:rPr>
            </w:pPr>
            <w:r w:rsidRPr="00A05BB8">
              <w:rPr>
                <w:color w:val="000000"/>
                <w:szCs w:val="20"/>
              </w:rPr>
              <w:t>1</w:t>
            </w:r>
          </w:p>
        </w:tc>
        <w:tc>
          <w:tcPr>
            <w:tcW w:w="7360" w:type="dxa"/>
            <w:tcBorders>
              <w:top w:val="nil"/>
              <w:left w:val="nil"/>
              <w:bottom w:val="single" w:sz="4" w:space="0" w:color="auto"/>
              <w:right w:val="single" w:sz="4" w:space="0" w:color="auto"/>
            </w:tcBorders>
            <w:shd w:val="clear" w:color="000000" w:fill="D8D8D8"/>
            <w:noWrap/>
            <w:vAlign w:val="bottom"/>
          </w:tcPr>
          <w:p w:rsidR="0074246D" w:rsidRPr="00A05BB8" w:rsidRDefault="0074246D" w:rsidP="00054A2A">
            <w:pPr>
              <w:widowControl/>
              <w:adjustRightInd/>
              <w:spacing w:line="240" w:lineRule="auto"/>
              <w:jc w:val="left"/>
              <w:textAlignment w:val="auto"/>
              <w:rPr>
                <w:color w:val="000000"/>
                <w:szCs w:val="20"/>
              </w:rPr>
            </w:pPr>
            <w:r w:rsidRPr="00A05BB8">
              <w:rPr>
                <w:color w:val="000000"/>
                <w:szCs w:val="20"/>
              </w:rPr>
              <w:t>Úhrn příjmů</w:t>
            </w:r>
          </w:p>
        </w:tc>
        <w:tc>
          <w:tcPr>
            <w:tcW w:w="1551" w:type="dxa"/>
            <w:tcBorders>
              <w:top w:val="nil"/>
              <w:left w:val="nil"/>
              <w:bottom w:val="single" w:sz="4" w:space="0" w:color="auto"/>
              <w:right w:val="single" w:sz="4" w:space="0" w:color="auto"/>
            </w:tcBorders>
            <w:shd w:val="clear" w:color="000000" w:fill="D8D8D8"/>
            <w:noWrap/>
            <w:vAlign w:val="bottom"/>
          </w:tcPr>
          <w:p w:rsidR="0074246D" w:rsidRPr="00A05BB8" w:rsidRDefault="00C042C5" w:rsidP="00054A2A">
            <w:pPr>
              <w:widowControl/>
              <w:adjustRightInd/>
              <w:spacing w:line="240" w:lineRule="auto"/>
              <w:jc w:val="right"/>
              <w:textAlignment w:val="auto"/>
              <w:rPr>
                <w:color w:val="000000"/>
                <w:szCs w:val="20"/>
              </w:rPr>
            </w:pPr>
            <w:r>
              <w:rPr>
                <w:color w:val="000000"/>
                <w:szCs w:val="20"/>
              </w:rPr>
              <w:t>300 000</w:t>
            </w:r>
          </w:p>
        </w:tc>
      </w:tr>
      <w:tr w:rsidR="0074246D" w:rsidRPr="00A05BB8">
        <w:trPr>
          <w:trHeight w:val="300"/>
        </w:trPr>
        <w:tc>
          <w:tcPr>
            <w:tcW w:w="824" w:type="dxa"/>
            <w:tcBorders>
              <w:top w:val="nil"/>
              <w:left w:val="single" w:sz="4" w:space="0" w:color="auto"/>
              <w:bottom w:val="single" w:sz="4" w:space="0" w:color="auto"/>
              <w:right w:val="single" w:sz="4" w:space="0" w:color="auto"/>
            </w:tcBorders>
            <w:shd w:val="clear" w:color="000000" w:fill="D8D8D8"/>
            <w:noWrap/>
            <w:vAlign w:val="bottom"/>
          </w:tcPr>
          <w:p w:rsidR="0074246D" w:rsidRPr="00A05BB8" w:rsidRDefault="0074246D" w:rsidP="00054A2A">
            <w:pPr>
              <w:widowControl/>
              <w:adjustRightInd/>
              <w:spacing w:line="240" w:lineRule="auto"/>
              <w:jc w:val="right"/>
              <w:textAlignment w:val="auto"/>
              <w:rPr>
                <w:color w:val="000000"/>
                <w:szCs w:val="20"/>
              </w:rPr>
            </w:pPr>
            <w:r w:rsidRPr="00A05BB8">
              <w:rPr>
                <w:color w:val="000000"/>
                <w:szCs w:val="20"/>
              </w:rPr>
              <w:t>2</w:t>
            </w:r>
          </w:p>
        </w:tc>
        <w:tc>
          <w:tcPr>
            <w:tcW w:w="7360" w:type="dxa"/>
            <w:tcBorders>
              <w:top w:val="nil"/>
              <w:left w:val="nil"/>
              <w:bottom w:val="single" w:sz="4" w:space="0" w:color="auto"/>
              <w:right w:val="single" w:sz="4" w:space="0" w:color="auto"/>
            </w:tcBorders>
            <w:shd w:val="clear" w:color="000000" w:fill="D8D8D8"/>
            <w:noWrap/>
            <w:vAlign w:val="bottom"/>
          </w:tcPr>
          <w:p w:rsidR="0074246D" w:rsidRPr="00A05BB8" w:rsidRDefault="0074246D" w:rsidP="00054A2A">
            <w:pPr>
              <w:widowControl/>
              <w:adjustRightInd/>
              <w:spacing w:line="240" w:lineRule="auto"/>
              <w:jc w:val="left"/>
              <w:textAlignment w:val="auto"/>
              <w:rPr>
                <w:color w:val="000000"/>
                <w:szCs w:val="20"/>
              </w:rPr>
            </w:pPr>
            <w:r w:rsidRPr="00A05BB8">
              <w:rPr>
                <w:color w:val="000000"/>
                <w:szCs w:val="20"/>
              </w:rPr>
              <w:t>Plus úhrn pojistného placeného zaměstnavatelem</w:t>
            </w:r>
          </w:p>
        </w:tc>
        <w:tc>
          <w:tcPr>
            <w:tcW w:w="1551" w:type="dxa"/>
            <w:tcBorders>
              <w:top w:val="nil"/>
              <w:left w:val="nil"/>
              <w:bottom w:val="single" w:sz="4" w:space="0" w:color="auto"/>
              <w:right w:val="single" w:sz="4" w:space="0" w:color="auto"/>
            </w:tcBorders>
            <w:shd w:val="clear" w:color="000000" w:fill="D8D8D8"/>
            <w:noWrap/>
            <w:vAlign w:val="bottom"/>
          </w:tcPr>
          <w:p w:rsidR="0074246D" w:rsidRPr="00A05BB8" w:rsidRDefault="00C042C5" w:rsidP="00054A2A">
            <w:pPr>
              <w:widowControl/>
              <w:adjustRightInd/>
              <w:spacing w:line="240" w:lineRule="auto"/>
              <w:jc w:val="right"/>
              <w:textAlignment w:val="auto"/>
              <w:rPr>
                <w:color w:val="000000"/>
                <w:szCs w:val="20"/>
              </w:rPr>
            </w:pPr>
            <w:r>
              <w:rPr>
                <w:color w:val="000000"/>
                <w:szCs w:val="20"/>
              </w:rPr>
              <w:t>102 000</w:t>
            </w:r>
          </w:p>
        </w:tc>
      </w:tr>
      <w:tr w:rsidR="0074246D" w:rsidRPr="00A05BB8">
        <w:trPr>
          <w:trHeight w:val="300"/>
        </w:trPr>
        <w:tc>
          <w:tcPr>
            <w:tcW w:w="824" w:type="dxa"/>
            <w:tcBorders>
              <w:top w:val="nil"/>
              <w:left w:val="single" w:sz="4" w:space="0" w:color="auto"/>
              <w:bottom w:val="single" w:sz="4" w:space="0" w:color="auto"/>
              <w:right w:val="single" w:sz="4" w:space="0" w:color="auto"/>
            </w:tcBorders>
            <w:shd w:val="clear" w:color="000000" w:fill="D8D8D8"/>
            <w:noWrap/>
            <w:vAlign w:val="bottom"/>
          </w:tcPr>
          <w:p w:rsidR="0074246D" w:rsidRPr="00A05BB8" w:rsidRDefault="0074246D" w:rsidP="00054A2A">
            <w:pPr>
              <w:widowControl/>
              <w:adjustRightInd/>
              <w:spacing w:line="240" w:lineRule="auto"/>
              <w:jc w:val="right"/>
              <w:textAlignment w:val="auto"/>
              <w:rPr>
                <w:color w:val="000000"/>
                <w:szCs w:val="20"/>
              </w:rPr>
            </w:pPr>
            <w:r w:rsidRPr="00A05BB8">
              <w:rPr>
                <w:color w:val="000000"/>
                <w:szCs w:val="20"/>
              </w:rPr>
              <w:t>3</w:t>
            </w:r>
          </w:p>
        </w:tc>
        <w:tc>
          <w:tcPr>
            <w:tcW w:w="7360" w:type="dxa"/>
            <w:tcBorders>
              <w:top w:val="nil"/>
              <w:left w:val="nil"/>
              <w:bottom w:val="single" w:sz="4" w:space="0" w:color="auto"/>
              <w:right w:val="single" w:sz="4" w:space="0" w:color="auto"/>
            </w:tcBorders>
            <w:shd w:val="clear" w:color="000000" w:fill="D8D8D8"/>
            <w:noWrap/>
            <w:vAlign w:val="bottom"/>
          </w:tcPr>
          <w:p w:rsidR="0074246D" w:rsidRPr="00A05BB8" w:rsidRDefault="0074246D" w:rsidP="00054A2A">
            <w:pPr>
              <w:widowControl/>
              <w:adjustRightInd/>
              <w:spacing w:line="240" w:lineRule="auto"/>
              <w:jc w:val="left"/>
              <w:textAlignment w:val="auto"/>
              <w:rPr>
                <w:color w:val="000000"/>
                <w:szCs w:val="20"/>
              </w:rPr>
            </w:pPr>
            <w:r w:rsidRPr="00A05BB8">
              <w:rPr>
                <w:color w:val="000000"/>
                <w:szCs w:val="20"/>
              </w:rPr>
              <w:t>Roční základ daně</w:t>
            </w:r>
          </w:p>
        </w:tc>
        <w:tc>
          <w:tcPr>
            <w:tcW w:w="1551" w:type="dxa"/>
            <w:tcBorders>
              <w:top w:val="nil"/>
              <w:left w:val="nil"/>
              <w:bottom w:val="single" w:sz="4" w:space="0" w:color="auto"/>
              <w:right w:val="single" w:sz="4" w:space="0" w:color="auto"/>
            </w:tcBorders>
            <w:shd w:val="clear" w:color="000000" w:fill="D8D8D8"/>
            <w:noWrap/>
            <w:vAlign w:val="bottom"/>
          </w:tcPr>
          <w:p w:rsidR="0074246D" w:rsidRPr="00A05BB8" w:rsidRDefault="00C042C5" w:rsidP="00054A2A">
            <w:pPr>
              <w:widowControl/>
              <w:adjustRightInd/>
              <w:spacing w:line="240" w:lineRule="auto"/>
              <w:jc w:val="right"/>
              <w:textAlignment w:val="auto"/>
              <w:rPr>
                <w:color w:val="000000"/>
                <w:szCs w:val="20"/>
              </w:rPr>
            </w:pPr>
            <w:r>
              <w:rPr>
                <w:color w:val="000000"/>
                <w:szCs w:val="20"/>
              </w:rPr>
              <w:t>402 000</w:t>
            </w:r>
          </w:p>
        </w:tc>
      </w:tr>
      <w:tr w:rsidR="0074246D" w:rsidRPr="00A05BB8">
        <w:trPr>
          <w:trHeight w:val="300"/>
        </w:trPr>
        <w:tc>
          <w:tcPr>
            <w:tcW w:w="824" w:type="dxa"/>
            <w:tcBorders>
              <w:top w:val="nil"/>
              <w:left w:val="single" w:sz="4" w:space="0" w:color="auto"/>
              <w:bottom w:val="single" w:sz="4" w:space="0" w:color="auto"/>
              <w:right w:val="single" w:sz="4" w:space="0" w:color="auto"/>
            </w:tcBorders>
            <w:shd w:val="clear" w:color="000000" w:fill="D8D8D8"/>
            <w:noWrap/>
            <w:vAlign w:val="bottom"/>
          </w:tcPr>
          <w:p w:rsidR="0074246D" w:rsidRPr="00A05BB8" w:rsidRDefault="0074246D" w:rsidP="00054A2A">
            <w:pPr>
              <w:widowControl/>
              <w:adjustRightInd/>
              <w:spacing w:line="240" w:lineRule="auto"/>
              <w:jc w:val="right"/>
              <w:textAlignment w:val="auto"/>
              <w:rPr>
                <w:color w:val="000000"/>
                <w:szCs w:val="20"/>
              </w:rPr>
            </w:pPr>
            <w:r w:rsidRPr="00A05BB8">
              <w:rPr>
                <w:color w:val="000000"/>
                <w:szCs w:val="20"/>
              </w:rPr>
              <w:t>10</w:t>
            </w:r>
          </w:p>
        </w:tc>
        <w:tc>
          <w:tcPr>
            <w:tcW w:w="7360" w:type="dxa"/>
            <w:tcBorders>
              <w:top w:val="nil"/>
              <w:left w:val="nil"/>
              <w:bottom w:val="single" w:sz="4" w:space="0" w:color="auto"/>
              <w:right w:val="single" w:sz="4" w:space="0" w:color="auto"/>
            </w:tcBorders>
            <w:shd w:val="clear" w:color="000000" w:fill="D8D8D8"/>
            <w:noWrap/>
            <w:vAlign w:val="bottom"/>
          </w:tcPr>
          <w:p w:rsidR="0074246D" w:rsidRPr="00A05BB8" w:rsidRDefault="0074246D" w:rsidP="00054A2A">
            <w:pPr>
              <w:widowControl/>
              <w:adjustRightInd/>
              <w:spacing w:line="240" w:lineRule="auto"/>
              <w:jc w:val="left"/>
              <w:textAlignment w:val="auto"/>
              <w:rPr>
                <w:color w:val="000000"/>
                <w:szCs w:val="20"/>
              </w:rPr>
            </w:pPr>
            <w:r w:rsidRPr="00A05BB8">
              <w:rPr>
                <w:color w:val="000000"/>
                <w:szCs w:val="20"/>
              </w:rPr>
              <w:t>Nezdanitelné částky celkem</w:t>
            </w:r>
          </w:p>
        </w:tc>
        <w:tc>
          <w:tcPr>
            <w:tcW w:w="1551" w:type="dxa"/>
            <w:tcBorders>
              <w:top w:val="nil"/>
              <w:left w:val="nil"/>
              <w:bottom w:val="single" w:sz="4" w:space="0" w:color="auto"/>
              <w:right w:val="single" w:sz="4" w:space="0" w:color="auto"/>
            </w:tcBorders>
            <w:shd w:val="clear" w:color="000000" w:fill="D8D8D8"/>
            <w:noWrap/>
            <w:vAlign w:val="bottom"/>
          </w:tcPr>
          <w:p w:rsidR="0074246D" w:rsidRPr="00A05BB8" w:rsidRDefault="0074246D" w:rsidP="00054A2A">
            <w:pPr>
              <w:widowControl/>
              <w:adjustRightInd/>
              <w:spacing w:line="240" w:lineRule="auto"/>
              <w:jc w:val="right"/>
              <w:textAlignment w:val="auto"/>
              <w:rPr>
                <w:color w:val="000000"/>
                <w:szCs w:val="20"/>
              </w:rPr>
            </w:pPr>
            <w:r w:rsidRPr="00A05BB8">
              <w:rPr>
                <w:color w:val="000000"/>
                <w:szCs w:val="20"/>
              </w:rPr>
              <w:t>0</w:t>
            </w:r>
          </w:p>
        </w:tc>
      </w:tr>
      <w:tr w:rsidR="0074246D" w:rsidRPr="00A05BB8">
        <w:trPr>
          <w:trHeight w:val="300"/>
        </w:trPr>
        <w:tc>
          <w:tcPr>
            <w:tcW w:w="824" w:type="dxa"/>
            <w:tcBorders>
              <w:top w:val="nil"/>
              <w:left w:val="single" w:sz="4" w:space="0" w:color="auto"/>
              <w:bottom w:val="single" w:sz="4" w:space="0" w:color="auto"/>
              <w:right w:val="single" w:sz="4" w:space="0" w:color="auto"/>
            </w:tcBorders>
            <w:shd w:val="clear" w:color="000000" w:fill="D8D8D8"/>
            <w:noWrap/>
            <w:vAlign w:val="bottom"/>
          </w:tcPr>
          <w:p w:rsidR="0074246D" w:rsidRPr="00A05BB8" w:rsidRDefault="0074246D" w:rsidP="00054A2A">
            <w:pPr>
              <w:widowControl/>
              <w:adjustRightInd/>
              <w:spacing w:line="240" w:lineRule="auto"/>
              <w:jc w:val="right"/>
              <w:textAlignment w:val="auto"/>
              <w:rPr>
                <w:color w:val="000000"/>
                <w:szCs w:val="20"/>
              </w:rPr>
            </w:pPr>
            <w:r w:rsidRPr="00A05BB8">
              <w:rPr>
                <w:color w:val="000000"/>
                <w:szCs w:val="20"/>
              </w:rPr>
              <w:t>11</w:t>
            </w:r>
          </w:p>
        </w:tc>
        <w:tc>
          <w:tcPr>
            <w:tcW w:w="7360" w:type="dxa"/>
            <w:tcBorders>
              <w:top w:val="nil"/>
              <w:left w:val="nil"/>
              <w:bottom w:val="single" w:sz="4" w:space="0" w:color="auto"/>
              <w:right w:val="single" w:sz="4" w:space="0" w:color="auto"/>
            </w:tcBorders>
            <w:shd w:val="clear" w:color="000000" w:fill="D8D8D8"/>
            <w:noWrap/>
            <w:vAlign w:val="bottom"/>
          </w:tcPr>
          <w:p w:rsidR="0074246D" w:rsidRPr="00A05BB8" w:rsidRDefault="0074246D" w:rsidP="00054A2A">
            <w:pPr>
              <w:widowControl/>
              <w:adjustRightInd/>
              <w:spacing w:line="240" w:lineRule="auto"/>
              <w:jc w:val="left"/>
              <w:textAlignment w:val="auto"/>
              <w:rPr>
                <w:color w:val="000000"/>
                <w:szCs w:val="20"/>
              </w:rPr>
            </w:pPr>
            <w:r w:rsidRPr="00A05BB8">
              <w:rPr>
                <w:color w:val="000000"/>
                <w:szCs w:val="20"/>
              </w:rPr>
              <w:t>Základ daně snížený o nezdanitelné částky, zaokrouhlený na celé 100 Kč dolů</w:t>
            </w:r>
          </w:p>
        </w:tc>
        <w:tc>
          <w:tcPr>
            <w:tcW w:w="1551" w:type="dxa"/>
            <w:tcBorders>
              <w:top w:val="nil"/>
              <w:left w:val="nil"/>
              <w:bottom w:val="single" w:sz="4" w:space="0" w:color="auto"/>
              <w:right w:val="single" w:sz="4" w:space="0" w:color="auto"/>
            </w:tcBorders>
            <w:shd w:val="clear" w:color="000000" w:fill="D8D8D8"/>
            <w:noWrap/>
            <w:vAlign w:val="bottom"/>
          </w:tcPr>
          <w:p w:rsidR="0074246D" w:rsidRPr="00A05BB8" w:rsidRDefault="00C042C5" w:rsidP="00054A2A">
            <w:pPr>
              <w:widowControl/>
              <w:adjustRightInd/>
              <w:spacing w:line="240" w:lineRule="auto"/>
              <w:jc w:val="right"/>
              <w:textAlignment w:val="auto"/>
              <w:rPr>
                <w:color w:val="000000"/>
                <w:szCs w:val="20"/>
              </w:rPr>
            </w:pPr>
            <w:r>
              <w:rPr>
                <w:color w:val="000000"/>
                <w:szCs w:val="20"/>
              </w:rPr>
              <w:t>402 000</w:t>
            </w:r>
          </w:p>
        </w:tc>
      </w:tr>
      <w:tr w:rsidR="0074246D" w:rsidRPr="00A05BB8">
        <w:trPr>
          <w:trHeight w:val="300"/>
        </w:trPr>
        <w:tc>
          <w:tcPr>
            <w:tcW w:w="824" w:type="dxa"/>
            <w:tcBorders>
              <w:top w:val="nil"/>
              <w:left w:val="single" w:sz="4" w:space="0" w:color="auto"/>
              <w:bottom w:val="single" w:sz="4" w:space="0" w:color="auto"/>
              <w:right w:val="single" w:sz="4" w:space="0" w:color="auto"/>
            </w:tcBorders>
            <w:shd w:val="clear" w:color="000000" w:fill="D8D8D8"/>
            <w:noWrap/>
            <w:vAlign w:val="bottom"/>
          </w:tcPr>
          <w:p w:rsidR="0074246D" w:rsidRPr="00A05BB8" w:rsidRDefault="0074246D" w:rsidP="00054A2A">
            <w:pPr>
              <w:widowControl/>
              <w:adjustRightInd/>
              <w:spacing w:line="240" w:lineRule="auto"/>
              <w:jc w:val="right"/>
              <w:textAlignment w:val="auto"/>
              <w:rPr>
                <w:color w:val="000000"/>
                <w:szCs w:val="20"/>
              </w:rPr>
            </w:pPr>
            <w:r w:rsidRPr="00A05BB8">
              <w:rPr>
                <w:color w:val="000000"/>
                <w:szCs w:val="20"/>
              </w:rPr>
              <w:t>12</w:t>
            </w:r>
          </w:p>
        </w:tc>
        <w:tc>
          <w:tcPr>
            <w:tcW w:w="7360" w:type="dxa"/>
            <w:tcBorders>
              <w:top w:val="nil"/>
              <w:left w:val="nil"/>
              <w:bottom w:val="single" w:sz="4" w:space="0" w:color="auto"/>
              <w:right w:val="single" w:sz="4" w:space="0" w:color="auto"/>
            </w:tcBorders>
            <w:shd w:val="clear" w:color="000000" w:fill="D8D8D8"/>
            <w:noWrap/>
            <w:vAlign w:val="bottom"/>
          </w:tcPr>
          <w:p w:rsidR="0074246D" w:rsidRPr="00A05BB8" w:rsidRDefault="0074246D" w:rsidP="00054A2A">
            <w:pPr>
              <w:widowControl/>
              <w:adjustRightInd/>
              <w:spacing w:line="240" w:lineRule="auto"/>
              <w:jc w:val="left"/>
              <w:textAlignment w:val="auto"/>
              <w:rPr>
                <w:color w:val="000000"/>
                <w:szCs w:val="20"/>
              </w:rPr>
            </w:pPr>
            <w:r w:rsidRPr="00A05BB8">
              <w:rPr>
                <w:color w:val="000000"/>
                <w:szCs w:val="20"/>
              </w:rPr>
              <w:t>"Vypočtená" daň - 15 %</w:t>
            </w:r>
          </w:p>
        </w:tc>
        <w:tc>
          <w:tcPr>
            <w:tcW w:w="1551" w:type="dxa"/>
            <w:tcBorders>
              <w:top w:val="nil"/>
              <w:left w:val="nil"/>
              <w:bottom w:val="single" w:sz="4" w:space="0" w:color="auto"/>
              <w:right w:val="single" w:sz="4" w:space="0" w:color="auto"/>
            </w:tcBorders>
            <w:shd w:val="clear" w:color="000000" w:fill="D8D8D8"/>
            <w:noWrap/>
            <w:vAlign w:val="bottom"/>
          </w:tcPr>
          <w:p w:rsidR="0074246D" w:rsidRPr="00A05BB8" w:rsidRDefault="00C042C5" w:rsidP="00054A2A">
            <w:pPr>
              <w:widowControl/>
              <w:adjustRightInd/>
              <w:spacing w:line="240" w:lineRule="auto"/>
              <w:jc w:val="right"/>
              <w:textAlignment w:val="auto"/>
              <w:rPr>
                <w:color w:val="000000"/>
                <w:szCs w:val="20"/>
              </w:rPr>
            </w:pPr>
            <w:r>
              <w:rPr>
                <w:color w:val="000000"/>
                <w:szCs w:val="20"/>
              </w:rPr>
              <w:t>60 300</w:t>
            </w:r>
          </w:p>
        </w:tc>
      </w:tr>
      <w:tr w:rsidR="0074246D" w:rsidRPr="00A05BB8">
        <w:trPr>
          <w:trHeight w:val="300"/>
        </w:trPr>
        <w:tc>
          <w:tcPr>
            <w:tcW w:w="824" w:type="dxa"/>
            <w:tcBorders>
              <w:top w:val="nil"/>
              <w:left w:val="single" w:sz="4" w:space="0" w:color="auto"/>
              <w:bottom w:val="single" w:sz="4" w:space="0" w:color="auto"/>
              <w:right w:val="single" w:sz="4" w:space="0" w:color="auto"/>
            </w:tcBorders>
            <w:shd w:val="clear" w:color="000000" w:fill="D8D8D8"/>
            <w:noWrap/>
            <w:vAlign w:val="bottom"/>
          </w:tcPr>
          <w:p w:rsidR="0074246D" w:rsidRPr="00A05BB8" w:rsidRDefault="0074246D" w:rsidP="00054A2A">
            <w:pPr>
              <w:widowControl/>
              <w:adjustRightInd/>
              <w:spacing w:line="240" w:lineRule="auto"/>
              <w:jc w:val="right"/>
              <w:textAlignment w:val="auto"/>
              <w:rPr>
                <w:color w:val="000000"/>
                <w:szCs w:val="20"/>
              </w:rPr>
            </w:pPr>
            <w:r w:rsidRPr="00A05BB8">
              <w:rPr>
                <w:color w:val="000000"/>
                <w:szCs w:val="20"/>
              </w:rPr>
              <w:t>19</w:t>
            </w:r>
          </w:p>
        </w:tc>
        <w:tc>
          <w:tcPr>
            <w:tcW w:w="7360" w:type="dxa"/>
            <w:tcBorders>
              <w:top w:val="nil"/>
              <w:left w:val="nil"/>
              <w:bottom w:val="single" w:sz="4" w:space="0" w:color="auto"/>
              <w:right w:val="single" w:sz="4" w:space="0" w:color="auto"/>
            </w:tcBorders>
            <w:shd w:val="clear" w:color="000000" w:fill="D8D8D8"/>
            <w:noWrap/>
            <w:vAlign w:val="bottom"/>
          </w:tcPr>
          <w:p w:rsidR="0074246D" w:rsidRPr="00A05BB8" w:rsidRDefault="0074246D" w:rsidP="00054A2A">
            <w:pPr>
              <w:widowControl/>
              <w:adjustRightInd/>
              <w:spacing w:line="240" w:lineRule="auto"/>
              <w:jc w:val="left"/>
              <w:textAlignment w:val="auto"/>
              <w:rPr>
                <w:color w:val="000000"/>
                <w:szCs w:val="20"/>
              </w:rPr>
            </w:pPr>
            <w:r w:rsidRPr="00A05BB8">
              <w:rPr>
                <w:color w:val="000000"/>
                <w:szCs w:val="20"/>
              </w:rPr>
              <w:t>Slevy z roční "vypočtené" daně</w:t>
            </w:r>
          </w:p>
        </w:tc>
        <w:tc>
          <w:tcPr>
            <w:tcW w:w="1551" w:type="dxa"/>
            <w:tcBorders>
              <w:top w:val="nil"/>
              <w:left w:val="nil"/>
              <w:bottom w:val="single" w:sz="4" w:space="0" w:color="auto"/>
              <w:right w:val="single" w:sz="4" w:space="0" w:color="auto"/>
            </w:tcBorders>
            <w:shd w:val="clear" w:color="000000" w:fill="D8D8D8"/>
            <w:noWrap/>
            <w:vAlign w:val="bottom"/>
          </w:tcPr>
          <w:p w:rsidR="0074246D" w:rsidRPr="00A05BB8" w:rsidRDefault="0074246D" w:rsidP="00054A2A">
            <w:pPr>
              <w:widowControl/>
              <w:adjustRightInd/>
              <w:spacing w:line="240" w:lineRule="auto"/>
              <w:jc w:val="right"/>
              <w:textAlignment w:val="auto"/>
              <w:rPr>
                <w:color w:val="000000"/>
                <w:szCs w:val="20"/>
              </w:rPr>
            </w:pPr>
            <w:r w:rsidRPr="00A05BB8">
              <w:rPr>
                <w:color w:val="000000"/>
                <w:szCs w:val="20"/>
              </w:rPr>
              <w:t>24 840</w:t>
            </w:r>
          </w:p>
        </w:tc>
      </w:tr>
      <w:tr w:rsidR="0074246D" w:rsidRPr="00A05BB8">
        <w:trPr>
          <w:trHeight w:val="300"/>
        </w:trPr>
        <w:tc>
          <w:tcPr>
            <w:tcW w:w="824" w:type="dxa"/>
            <w:tcBorders>
              <w:top w:val="nil"/>
              <w:left w:val="single" w:sz="4" w:space="0" w:color="auto"/>
              <w:bottom w:val="single" w:sz="4" w:space="0" w:color="auto"/>
              <w:right w:val="single" w:sz="4" w:space="0" w:color="auto"/>
            </w:tcBorders>
            <w:shd w:val="clear" w:color="000000" w:fill="D8D8D8"/>
            <w:noWrap/>
            <w:vAlign w:val="bottom"/>
          </w:tcPr>
          <w:p w:rsidR="0074246D" w:rsidRPr="00A05BB8" w:rsidRDefault="0074246D" w:rsidP="00054A2A">
            <w:pPr>
              <w:widowControl/>
              <w:adjustRightInd/>
              <w:spacing w:line="240" w:lineRule="auto"/>
              <w:jc w:val="right"/>
              <w:textAlignment w:val="auto"/>
              <w:rPr>
                <w:color w:val="000000"/>
                <w:szCs w:val="20"/>
              </w:rPr>
            </w:pPr>
            <w:r w:rsidRPr="00A05BB8">
              <w:rPr>
                <w:color w:val="000000"/>
                <w:szCs w:val="20"/>
              </w:rPr>
              <w:t>20</w:t>
            </w:r>
          </w:p>
        </w:tc>
        <w:tc>
          <w:tcPr>
            <w:tcW w:w="7360" w:type="dxa"/>
            <w:tcBorders>
              <w:top w:val="nil"/>
              <w:left w:val="nil"/>
              <w:bottom w:val="single" w:sz="4" w:space="0" w:color="auto"/>
              <w:right w:val="single" w:sz="4" w:space="0" w:color="auto"/>
            </w:tcBorders>
            <w:shd w:val="clear" w:color="000000" w:fill="D8D8D8"/>
            <w:noWrap/>
            <w:vAlign w:val="bottom"/>
          </w:tcPr>
          <w:p w:rsidR="0074246D" w:rsidRPr="00A05BB8" w:rsidRDefault="0074246D" w:rsidP="00054A2A">
            <w:pPr>
              <w:widowControl/>
              <w:adjustRightInd/>
              <w:spacing w:line="240" w:lineRule="auto"/>
              <w:jc w:val="left"/>
              <w:textAlignment w:val="auto"/>
              <w:rPr>
                <w:color w:val="000000"/>
                <w:szCs w:val="20"/>
              </w:rPr>
            </w:pPr>
            <w:r w:rsidRPr="00A05BB8">
              <w:rPr>
                <w:color w:val="000000"/>
                <w:szCs w:val="20"/>
              </w:rPr>
              <w:t>Roční daň po snížení o slevy</w:t>
            </w:r>
          </w:p>
        </w:tc>
        <w:tc>
          <w:tcPr>
            <w:tcW w:w="1551" w:type="dxa"/>
            <w:tcBorders>
              <w:top w:val="nil"/>
              <w:left w:val="nil"/>
              <w:bottom w:val="single" w:sz="4" w:space="0" w:color="auto"/>
              <w:right w:val="single" w:sz="4" w:space="0" w:color="auto"/>
            </w:tcBorders>
            <w:shd w:val="clear" w:color="000000" w:fill="D8D8D8"/>
            <w:noWrap/>
            <w:vAlign w:val="bottom"/>
          </w:tcPr>
          <w:p w:rsidR="0074246D" w:rsidRPr="00A05BB8" w:rsidRDefault="00C042C5" w:rsidP="00054A2A">
            <w:pPr>
              <w:widowControl/>
              <w:adjustRightInd/>
              <w:spacing w:line="240" w:lineRule="auto"/>
              <w:jc w:val="right"/>
              <w:textAlignment w:val="auto"/>
              <w:rPr>
                <w:b/>
                <w:color w:val="000000"/>
                <w:szCs w:val="20"/>
              </w:rPr>
            </w:pPr>
            <w:r>
              <w:rPr>
                <w:b/>
                <w:color w:val="000000"/>
                <w:szCs w:val="20"/>
              </w:rPr>
              <w:t>35 460</w:t>
            </w:r>
          </w:p>
        </w:tc>
      </w:tr>
      <w:tr w:rsidR="0074246D" w:rsidRPr="00A05BB8">
        <w:trPr>
          <w:trHeight w:val="300"/>
        </w:trPr>
        <w:tc>
          <w:tcPr>
            <w:tcW w:w="824" w:type="dxa"/>
            <w:tcBorders>
              <w:top w:val="nil"/>
              <w:left w:val="single" w:sz="4" w:space="0" w:color="auto"/>
              <w:bottom w:val="single" w:sz="4" w:space="0" w:color="auto"/>
              <w:right w:val="single" w:sz="4" w:space="0" w:color="auto"/>
            </w:tcBorders>
            <w:shd w:val="clear" w:color="000000" w:fill="D8D8D8"/>
            <w:noWrap/>
            <w:vAlign w:val="bottom"/>
          </w:tcPr>
          <w:p w:rsidR="0074246D" w:rsidRPr="00A05BB8" w:rsidRDefault="0074246D" w:rsidP="00054A2A">
            <w:pPr>
              <w:widowControl/>
              <w:adjustRightInd/>
              <w:spacing w:line="240" w:lineRule="auto"/>
              <w:jc w:val="right"/>
              <w:textAlignment w:val="auto"/>
              <w:rPr>
                <w:color w:val="000000"/>
                <w:szCs w:val="20"/>
              </w:rPr>
            </w:pPr>
            <w:r w:rsidRPr="00A05BB8">
              <w:rPr>
                <w:color w:val="000000"/>
                <w:szCs w:val="20"/>
              </w:rPr>
              <w:t>21</w:t>
            </w:r>
          </w:p>
        </w:tc>
        <w:tc>
          <w:tcPr>
            <w:tcW w:w="7360" w:type="dxa"/>
            <w:tcBorders>
              <w:top w:val="nil"/>
              <w:left w:val="nil"/>
              <w:bottom w:val="single" w:sz="4" w:space="0" w:color="auto"/>
              <w:right w:val="single" w:sz="4" w:space="0" w:color="auto"/>
            </w:tcBorders>
            <w:shd w:val="clear" w:color="000000" w:fill="D8D8D8"/>
            <w:noWrap/>
            <w:vAlign w:val="bottom"/>
          </w:tcPr>
          <w:p w:rsidR="0074246D" w:rsidRPr="00A05BB8" w:rsidRDefault="0074246D" w:rsidP="00054A2A">
            <w:pPr>
              <w:widowControl/>
              <w:adjustRightInd/>
              <w:spacing w:line="240" w:lineRule="auto"/>
              <w:jc w:val="left"/>
              <w:textAlignment w:val="auto"/>
              <w:rPr>
                <w:color w:val="000000"/>
                <w:szCs w:val="20"/>
              </w:rPr>
            </w:pPr>
            <w:r w:rsidRPr="00A05BB8">
              <w:rPr>
                <w:color w:val="000000"/>
                <w:szCs w:val="20"/>
              </w:rPr>
              <w:t>Úhrn sražených záloh na daň</w:t>
            </w:r>
          </w:p>
        </w:tc>
        <w:tc>
          <w:tcPr>
            <w:tcW w:w="1551" w:type="dxa"/>
            <w:tcBorders>
              <w:top w:val="nil"/>
              <w:left w:val="nil"/>
              <w:bottom w:val="single" w:sz="4" w:space="0" w:color="auto"/>
              <w:right w:val="single" w:sz="4" w:space="0" w:color="auto"/>
            </w:tcBorders>
            <w:shd w:val="clear" w:color="000000" w:fill="D8D8D8"/>
            <w:noWrap/>
            <w:vAlign w:val="bottom"/>
          </w:tcPr>
          <w:p w:rsidR="0074246D" w:rsidRPr="00A05BB8" w:rsidRDefault="00C042C5" w:rsidP="00054A2A">
            <w:pPr>
              <w:widowControl/>
              <w:adjustRightInd/>
              <w:spacing w:line="240" w:lineRule="auto"/>
              <w:jc w:val="right"/>
              <w:textAlignment w:val="auto"/>
              <w:rPr>
                <w:b/>
                <w:color w:val="000000"/>
                <w:szCs w:val="20"/>
              </w:rPr>
            </w:pPr>
            <w:r>
              <w:rPr>
                <w:b/>
                <w:color w:val="000000"/>
                <w:szCs w:val="20"/>
              </w:rPr>
              <w:t>9 050</w:t>
            </w:r>
          </w:p>
        </w:tc>
      </w:tr>
      <w:tr w:rsidR="0074246D" w:rsidRPr="00A05BB8">
        <w:trPr>
          <w:trHeight w:val="300"/>
        </w:trPr>
        <w:tc>
          <w:tcPr>
            <w:tcW w:w="824" w:type="dxa"/>
            <w:tcBorders>
              <w:top w:val="nil"/>
              <w:left w:val="single" w:sz="4" w:space="0" w:color="auto"/>
              <w:bottom w:val="single" w:sz="4" w:space="0" w:color="auto"/>
              <w:right w:val="single" w:sz="4" w:space="0" w:color="auto"/>
            </w:tcBorders>
            <w:shd w:val="clear" w:color="000000" w:fill="D8D8D8"/>
            <w:noWrap/>
            <w:vAlign w:val="bottom"/>
          </w:tcPr>
          <w:p w:rsidR="0074246D" w:rsidRPr="00A05BB8" w:rsidRDefault="0074246D" w:rsidP="00054A2A">
            <w:pPr>
              <w:widowControl/>
              <w:adjustRightInd/>
              <w:spacing w:line="240" w:lineRule="auto"/>
              <w:jc w:val="left"/>
              <w:textAlignment w:val="auto"/>
              <w:rPr>
                <w:color w:val="000000"/>
                <w:szCs w:val="20"/>
              </w:rPr>
            </w:pPr>
            <w:r w:rsidRPr="00A05BB8">
              <w:rPr>
                <w:color w:val="000000"/>
                <w:szCs w:val="20"/>
              </w:rPr>
              <w:t> </w:t>
            </w:r>
          </w:p>
        </w:tc>
        <w:tc>
          <w:tcPr>
            <w:tcW w:w="7360" w:type="dxa"/>
            <w:tcBorders>
              <w:top w:val="nil"/>
              <w:left w:val="nil"/>
              <w:bottom w:val="single" w:sz="4" w:space="0" w:color="auto"/>
              <w:right w:val="single" w:sz="4" w:space="0" w:color="auto"/>
            </w:tcBorders>
            <w:shd w:val="clear" w:color="000000" w:fill="D8D8D8"/>
            <w:noWrap/>
            <w:vAlign w:val="bottom"/>
          </w:tcPr>
          <w:p w:rsidR="0074246D" w:rsidRPr="00A05BB8" w:rsidRDefault="0074246D" w:rsidP="00054A2A">
            <w:pPr>
              <w:widowControl/>
              <w:adjustRightInd/>
              <w:spacing w:line="240" w:lineRule="auto"/>
              <w:jc w:val="left"/>
              <w:textAlignment w:val="auto"/>
              <w:rPr>
                <w:b/>
                <w:bCs/>
                <w:color w:val="000000"/>
                <w:szCs w:val="20"/>
              </w:rPr>
            </w:pPr>
            <w:r w:rsidRPr="00A05BB8">
              <w:rPr>
                <w:b/>
                <w:bCs/>
                <w:color w:val="000000"/>
                <w:szCs w:val="20"/>
              </w:rPr>
              <w:t>Daňové zvýhodnění na děti</w:t>
            </w:r>
          </w:p>
        </w:tc>
        <w:tc>
          <w:tcPr>
            <w:tcW w:w="1551" w:type="dxa"/>
            <w:tcBorders>
              <w:top w:val="nil"/>
              <w:left w:val="nil"/>
              <w:bottom w:val="single" w:sz="4" w:space="0" w:color="auto"/>
              <w:right w:val="single" w:sz="4" w:space="0" w:color="auto"/>
            </w:tcBorders>
            <w:shd w:val="clear" w:color="000000" w:fill="D8D8D8"/>
            <w:noWrap/>
            <w:vAlign w:val="bottom"/>
          </w:tcPr>
          <w:p w:rsidR="0074246D" w:rsidRPr="00A05BB8" w:rsidRDefault="0074246D" w:rsidP="00054A2A">
            <w:pPr>
              <w:widowControl/>
              <w:adjustRightInd/>
              <w:spacing w:line="240" w:lineRule="auto"/>
              <w:jc w:val="left"/>
              <w:textAlignment w:val="auto"/>
              <w:rPr>
                <w:color w:val="000000"/>
                <w:szCs w:val="20"/>
              </w:rPr>
            </w:pPr>
            <w:r w:rsidRPr="00A05BB8">
              <w:rPr>
                <w:color w:val="000000"/>
                <w:szCs w:val="20"/>
              </w:rPr>
              <w:t> </w:t>
            </w:r>
          </w:p>
        </w:tc>
      </w:tr>
      <w:tr w:rsidR="0074246D" w:rsidRPr="00A05BB8">
        <w:trPr>
          <w:trHeight w:val="300"/>
        </w:trPr>
        <w:tc>
          <w:tcPr>
            <w:tcW w:w="824" w:type="dxa"/>
            <w:tcBorders>
              <w:top w:val="nil"/>
              <w:left w:val="single" w:sz="4" w:space="0" w:color="auto"/>
              <w:bottom w:val="single" w:sz="4" w:space="0" w:color="auto"/>
              <w:right w:val="single" w:sz="4" w:space="0" w:color="auto"/>
            </w:tcBorders>
            <w:shd w:val="clear" w:color="000000" w:fill="D8D8D8"/>
            <w:noWrap/>
            <w:vAlign w:val="bottom"/>
          </w:tcPr>
          <w:p w:rsidR="0074246D" w:rsidRPr="00A05BB8" w:rsidRDefault="0074246D" w:rsidP="00054A2A">
            <w:pPr>
              <w:widowControl/>
              <w:adjustRightInd/>
              <w:spacing w:line="240" w:lineRule="auto"/>
              <w:jc w:val="right"/>
              <w:textAlignment w:val="auto"/>
              <w:rPr>
                <w:color w:val="000000"/>
                <w:szCs w:val="20"/>
              </w:rPr>
            </w:pPr>
            <w:r w:rsidRPr="00A05BB8">
              <w:rPr>
                <w:color w:val="000000"/>
                <w:szCs w:val="20"/>
              </w:rPr>
              <w:t>23</w:t>
            </w:r>
          </w:p>
        </w:tc>
        <w:tc>
          <w:tcPr>
            <w:tcW w:w="7360" w:type="dxa"/>
            <w:tcBorders>
              <w:top w:val="nil"/>
              <w:left w:val="nil"/>
              <w:bottom w:val="single" w:sz="4" w:space="0" w:color="auto"/>
              <w:right w:val="single" w:sz="4" w:space="0" w:color="auto"/>
            </w:tcBorders>
            <w:shd w:val="clear" w:color="000000" w:fill="D8D8D8"/>
            <w:noWrap/>
            <w:vAlign w:val="bottom"/>
          </w:tcPr>
          <w:p w:rsidR="0074246D" w:rsidRPr="00A05BB8" w:rsidRDefault="0074246D" w:rsidP="00054A2A">
            <w:pPr>
              <w:widowControl/>
              <w:adjustRightInd/>
              <w:spacing w:line="240" w:lineRule="auto"/>
              <w:jc w:val="left"/>
              <w:textAlignment w:val="auto"/>
              <w:rPr>
                <w:color w:val="000000"/>
                <w:szCs w:val="20"/>
              </w:rPr>
            </w:pPr>
            <w:r w:rsidRPr="00A05BB8">
              <w:rPr>
                <w:color w:val="000000"/>
                <w:szCs w:val="20"/>
              </w:rPr>
              <w:t>Nárok celkem</w:t>
            </w:r>
          </w:p>
        </w:tc>
        <w:tc>
          <w:tcPr>
            <w:tcW w:w="1551" w:type="dxa"/>
            <w:tcBorders>
              <w:top w:val="nil"/>
              <w:left w:val="nil"/>
              <w:bottom w:val="single" w:sz="4" w:space="0" w:color="auto"/>
              <w:right w:val="single" w:sz="4" w:space="0" w:color="auto"/>
            </w:tcBorders>
            <w:shd w:val="clear" w:color="000000" w:fill="D8D8D8"/>
            <w:noWrap/>
            <w:vAlign w:val="bottom"/>
          </w:tcPr>
          <w:p w:rsidR="0074246D" w:rsidRPr="00A05BB8" w:rsidRDefault="00DC6306" w:rsidP="00054A2A">
            <w:pPr>
              <w:widowControl/>
              <w:adjustRightInd/>
              <w:spacing w:line="240" w:lineRule="auto"/>
              <w:jc w:val="right"/>
              <w:textAlignment w:val="auto"/>
              <w:rPr>
                <w:color w:val="000000"/>
                <w:szCs w:val="20"/>
              </w:rPr>
            </w:pPr>
            <w:r>
              <w:rPr>
                <w:color w:val="000000"/>
                <w:szCs w:val="20"/>
              </w:rPr>
              <w:t>26 808</w:t>
            </w:r>
          </w:p>
        </w:tc>
      </w:tr>
      <w:tr w:rsidR="0074246D" w:rsidRPr="00A05BB8">
        <w:trPr>
          <w:trHeight w:val="300"/>
        </w:trPr>
        <w:tc>
          <w:tcPr>
            <w:tcW w:w="824" w:type="dxa"/>
            <w:tcBorders>
              <w:top w:val="nil"/>
              <w:left w:val="single" w:sz="4" w:space="0" w:color="auto"/>
              <w:bottom w:val="single" w:sz="4" w:space="0" w:color="auto"/>
              <w:right w:val="single" w:sz="4" w:space="0" w:color="auto"/>
            </w:tcBorders>
            <w:shd w:val="clear" w:color="000000" w:fill="D8D8D8"/>
            <w:noWrap/>
            <w:vAlign w:val="bottom"/>
          </w:tcPr>
          <w:p w:rsidR="0074246D" w:rsidRPr="00A05BB8" w:rsidRDefault="0074246D" w:rsidP="00054A2A">
            <w:pPr>
              <w:widowControl/>
              <w:adjustRightInd/>
              <w:spacing w:line="240" w:lineRule="auto"/>
              <w:jc w:val="right"/>
              <w:textAlignment w:val="auto"/>
              <w:rPr>
                <w:color w:val="000000"/>
                <w:szCs w:val="20"/>
              </w:rPr>
            </w:pPr>
            <w:r w:rsidRPr="00A05BB8">
              <w:rPr>
                <w:color w:val="000000"/>
                <w:szCs w:val="20"/>
              </w:rPr>
              <w:t>24</w:t>
            </w:r>
          </w:p>
        </w:tc>
        <w:tc>
          <w:tcPr>
            <w:tcW w:w="7360" w:type="dxa"/>
            <w:tcBorders>
              <w:top w:val="nil"/>
              <w:left w:val="nil"/>
              <w:bottom w:val="single" w:sz="4" w:space="0" w:color="auto"/>
              <w:right w:val="single" w:sz="4" w:space="0" w:color="auto"/>
            </w:tcBorders>
            <w:shd w:val="clear" w:color="000000" w:fill="D8D8D8"/>
            <w:noWrap/>
            <w:vAlign w:val="bottom"/>
          </w:tcPr>
          <w:p w:rsidR="0074246D" w:rsidRPr="00A05BB8" w:rsidRDefault="0074246D" w:rsidP="00054A2A">
            <w:pPr>
              <w:widowControl/>
              <w:adjustRightInd/>
              <w:spacing w:line="240" w:lineRule="auto"/>
              <w:jc w:val="left"/>
              <w:textAlignment w:val="auto"/>
              <w:rPr>
                <w:color w:val="000000"/>
                <w:szCs w:val="20"/>
              </w:rPr>
            </w:pPr>
            <w:r w:rsidRPr="00A05BB8">
              <w:rPr>
                <w:color w:val="000000"/>
                <w:szCs w:val="20"/>
              </w:rPr>
              <w:t>z toho: - sleva na dani</w:t>
            </w:r>
          </w:p>
        </w:tc>
        <w:tc>
          <w:tcPr>
            <w:tcW w:w="1551" w:type="dxa"/>
            <w:tcBorders>
              <w:top w:val="nil"/>
              <w:left w:val="nil"/>
              <w:bottom w:val="single" w:sz="4" w:space="0" w:color="auto"/>
              <w:right w:val="single" w:sz="4" w:space="0" w:color="auto"/>
            </w:tcBorders>
            <w:shd w:val="clear" w:color="000000" w:fill="D8D8D8"/>
            <w:noWrap/>
            <w:vAlign w:val="bottom"/>
          </w:tcPr>
          <w:p w:rsidR="0074246D" w:rsidRPr="00A05BB8" w:rsidRDefault="00DC6306" w:rsidP="00054A2A">
            <w:pPr>
              <w:widowControl/>
              <w:adjustRightInd/>
              <w:spacing w:line="240" w:lineRule="auto"/>
              <w:jc w:val="right"/>
              <w:textAlignment w:val="auto"/>
              <w:rPr>
                <w:color w:val="000000"/>
                <w:szCs w:val="20"/>
              </w:rPr>
            </w:pPr>
            <w:r>
              <w:rPr>
                <w:color w:val="000000"/>
                <w:szCs w:val="20"/>
              </w:rPr>
              <w:t>26 808</w:t>
            </w:r>
          </w:p>
        </w:tc>
      </w:tr>
      <w:tr w:rsidR="0074246D" w:rsidRPr="00A05BB8">
        <w:trPr>
          <w:trHeight w:val="300"/>
        </w:trPr>
        <w:tc>
          <w:tcPr>
            <w:tcW w:w="824" w:type="dxa"/>
            <w:tcBorders>
              <w:top w:val="nil"/>
              <w:left w:val="single" w:sz="4" w:space="0" w:color="auto"/>
              <w:bottom w:val="single" w:sz="4" w:space="0" w:color="auto"/>
              <w:right w:val="single" w:sz="4" w:space="0" w:color="auto"/>
            </w:tcBorders>
            <w:shd w:val="clear" w:color="000000" w:fill="D8D8D8"/>
            <w:noWrap/>
            <w:vAlign w:val="bottom"/>
          </w:tcPr>
          <w:p w:rsidR="0074246D" w:rsidRPr="00A05BB8" w:rsidRDefault="0074246D" w:rsidP="00054A2A">
            <w:pPr>
              <w:widowControl/>
              <w:adjustRightInd/>
              <w:spacing w:line="240" w:lineRule="auto"/>
              <w:jc w:val="left"/>
              <w:textAlignment w:val="auto"/>
              <w:rPr>
                <w:color w:val="000000"/>
                <w:szCs w:val="20"/>
              </w:rPr>
            </w:pPr>
            <w:r w:rsidRPr="00A05BB8">
              <w:rPr>
                <w:color w:val="000000"/>
                <w:szCs w:val="20"/>
              </w:rPr>
              <w:t> </w:t>
            </w:r>
          </w:p>
        </w:tc>
        <w:tc>
          <w:tcPr>
            <w:tcW w:w="7360" w:type="dxa"/>
            <w:tcBorders>
              <w:top w:val="nil"/>
              <w:left w:val="nil"/>
              <w:bottom w:val="single" w:sz="4" w:space="0" w:color="auto"/>
              <w:right w:val="single" w:sz="4" w:space="0" w:color="auto"/>
            </w:tcBorders>
            <w:shd w:val="clear" w:color="000000" w:fill="D8D8D8"/>
            <w:noWrap/>
            <w:vAlign w:val="bottom"/>
          </w:tcPr>
          <w:p w:rsidR="0074246D" w:rsidRPr="00A05BB8" w:rsidRDefault="0074246D" w:rsidP="00054A2A">
            <w:pPr>
              <w:widowControl/>
              <w:adjustRightInd/>
              <w:spacing w:line="240" w:lineRule="auto"/>
              <w:jc w:val="left"/>
              <w:textAlignment w:val="auto"/>
              <w:rPr>
                <w:color w:val="000000"/>
                <w:szCs w:val="20"/>
              </w:rPr>
            </w:pPr>
            <w:r w:rsidRPr="00A05BB8">
              <w:rPr>
                <w:color w:val="000000"/>
                <w:szCs w:val="20"/>
              </w:rPr>
              <w:t xml:space="preserve">              - daňový bonus</w:t>
            </w:r>
          </w:p>
        </w:tc>
        <w:tc>
          <w:tcPr>
            <w:tcW w:w="1551" w:type="dxa"/>
            <w:tcBorders>
              <w:top w:val="nil"/>
              <w:left w:val="nil"/>
              <w:bottom w:val="single" w:sz="4" w:space="0" w:color="auto"/>
              <w:right w:val="single" w:sz="4" w:space="0" w:color="auto"/>
            </w:tcBorders>
            <w:shd w:val="clear" w:color="000000" w:fill="D8D8D8"/>
            <w:noWrap/>
            <w:vAlign w:val="bottom"/>
          </w:tcPr>
          <w:p w:rsidR="0074246D" w:rsidRPr="00A05BB8" w:rsidRDefault="0074246D" w:rsidP="00054A2A">
            <w:pPr>
              <w:widowControl/>
              <w:adjustRightInd/>
              <w:spacing w:line="240" w:lineRule="auto"/>
              <w:jc w:val="right"/>
              <w:textAlignment w:val="auto"/>
              <w:rPr>
                <w:color w:val="000000"/>
                <w:szCs w:val="20"/>
              </w:rPr>
            </w:pPr>
            <w:r w:rsidRPr="00A05BB8">
              <w:rPr>
                <w:color w:val="000000"/>
                <w:szCs w:val="20"/>
              </w:rPr>
              <w:t>0</w:t>
            </w:r>
          </w:p>
        </w:tc>
      </w:tr>
      <w:tr w:rsidR="0074246D" w:rsidRPr="00A05BB8">
        <w:trPr>
          <w:trHeight w:val="300"/>
        </w:trPr>
        <w:tc>
          <w:tcPr>
            <w:tcW w:w="824" w:type="dxa"/>
            <w:tcBorders>
              <w:top w:val="nil"/>
              <w:left w:val="single" w:sz="4" w:space="0" w:color="auto"/>
              <w:bottom w:val="single" w:sz="4" w:space="0" w:color="auto"/>
              <w:right w:val="single" w:sz="4" w:space="0" w:color="auto"/>
            </w:tcBorders>
            <w:shd w:val="clear" w:color="000000" w:fill="D8D8D8"/>
            <w:noWrap/>
            <w:vAlign w:val="bottom"/>
          </w:tcPr>
          <w:p w:rsidR="0074246D" w:rsidRPr="00A05BB8" w:rsidRDefault="0074246D" w:rsidP="00054A2A">
            <w:pPr>
              <w:widowControl/>
              <w:adjustRightInd/>
              <w:spacing w:line="240" w:lineRule="auto"/>
              <w:jc w:val="left"/>
              <w:textAlignment w:val="auto"/>
              <w:rPr>
                <w:b/>
                <w:bCs/>
                <w:color w:val="000000"/>
                <w:szCs w:val="20"/>
              </w:rPr>
            </w:pPr>
            <w:r w:rsidRPr="00A05BB8">
              <w:rPr>
                <w:b/>
                <w:bCs/>
                <w:color w:val="000000"/>
                <w:szCs w:val="20"/>
              </w:rPr>
              <w:t> </w:t>
            </w:r>
          </w:p>
        </w:tc>
        <w:tc>
          <w:tcPr>
            <w:tcW w:w="7360" w:type="dxa"/>
            <w:tcBorders>
              <w:top w:val="nil"/>
              <w:left w:val="nil"/>
              <w:bottom w:val="single" w:sz="4" w:space="0" w:color="auto"/>
              <w:right w:val="single" w:sz="4" w:space="0" w:color="auto"/>
            </w:tcBorders>
            <w:shd w:val="clear" w:color="000000" w:fill="D8D8D8"/>
            <w:noWrap/>
            <w:vAlign w:val="bottom"/>
          </w:tcPr>
          <w:p w:rsidR="0074246D" w:rsidRPr="00A05BB8" w:rsidRDefault="0074246D" w:rsidP="00054A2A">
            <w:pPr>
              <w:widowControl/>
              <w:adjustRightInd/>
              <w:spacing w:line="240" w:lineRule="auto"/>
              <w:jc w:val="left"/>
              <w:textAlignment w:val="auto"/>
              <w:rPr>
                <w:b/>
                <w:bCs/>
                <w:color w:val="000000"/>
                <w:szCs w:val="20"/>
              </w:rPr>
            </w:pPr>
            <w:r w:rsidRPr="00A05BB8">
              <w:rPr>
                <w:b/>
                <w:bCs/>
                <w:color w:val="000000"/>
                <w:szCs w:val="20"/>
              </w:rPr>
              <w:t>Zúčtování záloh na daň po slevě na dítě</w:t>
            </w:r>
          </w:p>
        </w:tc>
        <w:tc>
          <w:tcPr>
            <w:tcW w:w="1551" w:type="dxa"/>
            <w:tcBorders>
              <w:top w:val="nil"/>
              <w:left w:val="nil"/>
              <w:bottom w:val="single" w:sz="4" w:space="0" w:color="auto"/>
              <w:right w:val="single" w:sz="4" w:space="0" w:color="auto"/>
            </w:tcBorders>
            <w:shd w:val="clear" w:color="000000" w:fill="D8D8D8"/>
            <w:noWrap/>
            <w:vAlign w:val="bottom"/>
          </w:tcPr>
          <w:p w:rsidR="0074246D" w:rsidRPr="00A05BB8" w:rsidRDefault="0074246D" w:rsidP="00054A2A">
            <w:pPr>
              <w:widowControl/>
              <w:adjustRightInd/>
              <w:spacing w:line="240" w:lineRule="auto"/>
              <w:jc w:val="left"/>
              <w:textAlignment w:val="auto"/>
              <w:rPr>
                <w:color w:val="000000"/>
                <w:szCs w:val="20"/>
              </w:rPr>
            </w:pPr>
            <w:r w:rsidRPr="00A05BB8">
              <w:rPr>
                <w:color w:val="000000"/>
                <w:szCs w:val="20"/>
              </w:rPr>
              <w:t> </w:t>
            </w:r>
          </w:p>
        </w:tc>
      </w:tr>
      <w:tr w:rsidR="0074246D" w:rsidRPr="00A05BB8">
        <w:trPr>
          <w:trHeight w:val="300"/>
        </w:trPr>
        <w:tc>
          <w:tcPr>
            <w:tcW w:w="824" w:type="dxa"/>
            <w:tcBorders>
              <w:top w:val="nil"/>
              <w:left w:val="single" w:sz="4" w:space="0" w:color="auto"/>
              <w:bottom w:val="single" w:sz="4" w:space="0" w:color="auto"/>
              <w:right w:val="single" w:sz="4" w:space="0" w:color="auto"/>
            </w:tcBorders>
            <w:shd w:val="clear" w:color="000000" w:fill="D8D8D8"/>
            <w:noWrap/>
            <w:vAlign w:val="bottom"/>
          </w:tcPr>
          <w:p w:rsidR="0074246D" w:rsidRPr="00A05BB8" w:rsidRDefault="0074246D" w:rsidP="00054A2A">
            <w:pPr>
              <w:widowControl/>
              <w:adjustRightInd/>
              <w:spacing w:line="240" w:lineRule="auto"/>
              <w:jc w:val="right"/>
              <w:textAlignment w:val="auto"/>
              <w:rPr>
                <w:color w:val="000000"/>
                <w:szCs w:val="20"/>
              </w:rPr>
            </w:pPr>
            <w:r w:rsidRPr="00A05BB8">
              <w:rPr>
                <w:color w:val="000000"/>
                <w:szCs w:val="20"/>
              </w:rPr>
              <w:t>26</w:t>
            </w:r>
          </w:p>
        </w:tc>
        <w:tc>
          <w:tcPr>
            <w:tcW w:w="7360" w:type="dxa"/>
            <w:tcBorders>
              <w:top w:val="nil"/>
              <w:left w:val="nil"/>
              <w:bottom w:val="single" w:sz="4" w:space="0" w:color="auto"/>
              <w:right w:val="single" w:sz="4" w:space="0" w:color="auto"/>
            </w:tcBorders>
            <w:shd w:val="clear" w:color="000000" w:fill="D8D8D8"/>
            <w:noWrap/>
            <w:vAlign w:val="bottom"/>
          </w:tcPr>
          <w:p w:rsidR="0074246D" w:rsidRPr="00A05BB8" w:rsidRDefault="0074246D" w:rsidP="00054A2A">
            <w:pPr>
              <w:widowControl/>
              <w:adjustRightInd/>
              <w:spacing w:line="240" w:lineRule="auto"/>
              <w:jc w:val="left"/>
              <w:textAlignment w:val="auto"/>
              <w:rPr>
                <w:color w:val="000000"/>
                <w:szCs w:val="20"/>
              </w:rPr>
            </w:pPr>
            <w:r w:rsidRPr="00A05BB8">
              <w:rPr>
                <w:color w:val="000000"/>
                <w:szCs w:val="20"/>
              </w:rPr>
              <w:t>Daň po slevě</w:t>
            </w:r>
          </w:p>
        </w:tc>
        <w:tc>
          <w:tcPr>
            <w:tcW w:w="1551" w:type="dxa"/>
            <w:tcBorders>
              <w:top w:val="nil"/>
              <w:left w:val="nil"/>
              <w:bottom w:val="single" w:sz="4" w:space="0" w:color="auto"/>
              <w:right w:val="single" w:sz="4" w:space="0" w:color="auto"/>
            </w:tcBorders>
            <w:shd w:val="clear" w:color="000000" w:fill="D8D8D8"/>
            <w:noWrap/>
            <w:vAlign w:val="bottom"/>
          </w:tcPr>
          <w:p w:rsidR="0074246D" w:rsidRPr="00A05BB8" w:rsidRDefault="00C042C5" w:rsidP="00054A2A">
            <w:pPr>
              <w:widowControl/>
              <w:adjustRightInd/>
              <w:spacing w:line="240" w:lineRule="auto"/>
              <w:jc w:val="right"/>
              <w:textAlignment w:val="auto"/>
              <w:rPr>
                <w:b/>
                <w:color w:val="000000"/>
                <w:szCs w:val="20"/>
              </w:rPr>
            </w:pPr>
            <w:r>
              <w:rPr>
                <w:b/>
                <w:color w:val="000000"/>
                <w:szCs w:val="20"/>
              </w:rPr>
              <w:t>8 652</w:t>
            </w:r>
          </w:p>
        </w:tc>
      </w:tr>
      <w:tr w:rsidR="0074246D" w:rsidRPr="00A05BB8">
        <w:trPr>
          <w:trHeight w:val="300"/>
        </w:trPr>
        <w:tc>
          <w:tcPr>
            <w:tcW w:w="824" w:type="dxa"/>
            <w:tcBorders>
              <w:top w:val="nil"/>
              <w:left w:val="single" w:sz="4" w:space="0" w:color="auto"/>
              <w:bottom w:val="single" w:sz="4" w:space="0" w:color="auto"/>
              <w:right w:val="single" w:sz="4" w:space="0" w:color="auto"/>
            </w:tcBorders>
            <w:shd w:val="clear" w:color="000000" w:fill="D8D8D8"/>
            <w:noWrap/>
            <w:vAlign w:val="bottom"/>
          </w:tcPr>
          <w:p w:rsidR="0074246D" w:rsidRPr="00A05BB8" w:rsidRDefault="0074246D" w:rsidP="00054A2A">
            <w:pPr>
              <w:widowControl/>
              <w:adjustRightInd/>
              <w:spacing w:line="240" w:lineRule="auto"/>
              <w:jc w:val="right"/>
              <w:textAlignment w:val="auto"/>
              <w:rPr>
                <w:color w:val="000000"/>
                <w:szCs w:val="20"/>
              </w:rPr>
            </w:pPr>
            <w:r w:rsidRPr="00A05BB8">
              <w:rPr>
                <w:color w:val="000000"/>
                <w:szCs w:val="20"/>
              </w:rPr>
              <w:t>27</w:t>
            </w:r>
          </w:p>
        </w:tc>
        <w:tc>
          <w:tcPr>
            <w:tcW w:w="7360" w:type="dxa"/>
            <w:tcBorders>
              <w:top w:val="nil"/>
              <w:left w:val="nil"/>
              <w:bottom w:val="single" w:sz="4" w:space="0" w:color="auto"/>
              <w:right w:val="single" w:sz="4" w:space="0" w:color="auto"/>
            </w:tcBorders>
            <w:shd w:val="clear" w:color="000000" w:fill="D8D8D8"/>
            <w:noWrap/>
            <w:vAlign w:val="bottom"/>
          </w:tcPr>
          <w:p w:rsidR="0074246D" w:rsidRPr="00A05BB8" w:rsidRDefault="0074246D" w:rsidP="00054A2A">
            <w:pPr>
              <w:widowControl/>
              <w:adjustRightInd/>
              <w:spacing w:line="240" w:lineRule="auto"/>
              <w:jc w:val="left"/>
              <w:textAlignment w:val="auto"/>
              <w:rPr>
                <w:color w:val="000000"/>
                <w:szCs w:val="20"/>
              </w:rPr>
            </w:pPr>
            <w:r w:rsidRPr="00A05BB8">
              <w:rPr>
                <w:color w:val="000000"/>
                <w:szCs w:val="20"/>
              </w:rPr>
              <w:t>Rozdíl na dani po slevě</w:t>
            </w:r>
          </w:p>
        </w:tc>
        <w:tc>
          <w:tcPr>
            <w:tcW w:w="1551" w:type="dxa"/>
            <w:tcBorders>
              <w:top w:val="nil"/>
              <w:left w:val="nil"/>
              <w:bottom w:val="single" w:sz="4" w:space="0" w:color="auto"/>
              <w:right w:val="single" w:sz="4" w:space="0" w:color="auto"/>
            </w:tcBorders>
            <w:shd w:val="clear" w:color="000000" w:fill="D8D8D8"/>
            <w:noWrap/>
            <w:vAlign w:val="bottom"/>
          </w:tcPr>
          <w:p w:rsidR="0074246D" w:rsidRPr="00A05BB8" w:rsidRDefault="00C042C5" w:rsidP="00054A2A">
            <w:pPr>
              <w:widowControl/>
              <w:adjustRightInd/>
              <w:spacing w:line="240" w:lineRule="auto"/>
              <w:jc w:val="right"/>
              <w:textAlignment w:val="auto"/>
              <w:rPr>
                <w:b/>
                <w:color w:val="000000"/>
                <w:szCs w:val="20"/>
              </w:rPr>
            </w:pPr>
            <w:r>
              <w:rPr>
                <w:b/>
                <w:color w:val="000000"/>
                <w:szCs w:val="20"/>
              </w:rPr>
              <w:t>-398</w:t>
            </w:r>
          </w:p>
        </w:tc>
      </w:tr>
      <w:tr w:rsidR="0074246D" w:rsidRPr="00A05BB8">
        <w:trPr>
          <w:trHeight w:val="300"/>
        </w:trPr>
        <w:tc>
          <w:tcPr>
            <w:tcW w:w="824" w:type="dxa"/>
            <w:tcBorders>
              <w:top w:val="nil"/>
              <w:left w:val="single" w:sz="4" w:space="0" w:color="auto"/>
              <w:bottom w:val="single" w:sz="4" w:space="0" w:color="auto"/>
              <w:right w:val="single" w:sz="4" w:space="0" w:color="auto"/>
            </w:tcBorders>
            <w:shd w:val="clear" w:color="000000" w:fill="D8D8D8"/>
            <w:noWrap/>
            <w:vAlign w:val="bottom"/>
          </w:tcPr>
          <w:p w:rsidR="0074246D" w:rsidRPr="00A05BB8" w:rsidRDefault="0074246D" w:rsidP="00054A2A">
            <w:pPr>
              <w:widowControl/>
              <w:adjustRightInd/>
              <w:spacing w:line="240" w:lineRule="auto"/>
              <w:jc w:val="left"/>
              <w:textAlignment w:val="auto"/>
              <w:rPr>
                <w:b/>
                <w:bCs/>
                <w:color w:val="000000"/>
                <w:szCs w:val="20"/>
              </w:rPr>
            </w:pPr>
            <w:r w:rsidRPr="00A05BB8">
              <w:rPr>
                <w:b/>
                <w:bCs/>
                <w:color w:val="000000"/>
                <w:szCs w:val="20"/>
              </w:rPr>
              <w:t> </w:t>
            </w:r>
          </w:p>
        </w:tc>
        <w:tc>
          <w:tcPr>
            <w:tcW w:w="7360" w:type="dxa"/>
            <w:tcBorders>
              <w:top w:val="nil"/>
              <w:left w:val="nil"/>
              <w:bottom w:val="single" w:sz="4" w:space="0" w:color="auto"/>
              <w:right w:val="single" w:sz="4" w:space="0" w:color="auto"/>
            </w:tcBorders>
            <w:shd w:val="clear" w:color="000000" w:fill="D8D8D8"/>
            <w:noWrap/>
            <w:vAlign w:val="bottom"/>
          </w:tcPr>
          <w:p w:rsidR="0074246D" w:rsidRPr="00A05BB8" w:rsidRDefault="0074246D" w:rsidP="00054A2A">
            <w:pPr>
              <w:widowControl/>
              <w:adjustRightInd/>
              <w:spacing w:line="240" w:lineRule="auto"/>
              <w:jc w:val="left"/>
              <w:textAlignment w:val="auto"/>
              <w:rPr>
                <w:b/>
                <w:bCs/>
                <w:color w:val="000000"/>
                <w:szCs w:val="20"/>
              </w:rPr>
            </w:pPr>
            <w:r w:rsidRPr="00A05BB8">
              <w:rPr>
                <w:b/>
                <w:bCs/>
                <w:color w:val="000000"/>
                <w:szCs w:val="20"/>
              </w:rPr>
              <w:t>Zúčtování měsíčních daňových bonusů</w:t>
            </w:r>
          </w:p>
        </w:tc>
        <w:tc>
          <w:tcPr>
            <w:tcW w:w="1551" w:type="dxa"/>
            <w:tcBorders>
              <w:top w:val="nil"/>
              <w:left w:val="nil"/>
              <w:bottom w:val="single" w:sz="4" w:space="0" w:color="auto"/>
              <w:right w:val="single" w:sz="4" w:space="0" w:color="auto"/>
            </w:tcBorders>
            <w:shd w:val="clear" w:color="000000" w:fill="D8D8D8"/>
            <w:noWrap/>
            <w:vAlign w:val="bottom"/>
          </w:tcPr>
          <w:p w:rsidR="0074246D" w:rsidRPr="00A05BB8" w:rsidRDefault="0074246D" w:rsidP="00054A2A">
            <w:pPr>
              <w:widowControl/>
              <w:adjustRightInd/>
              <w:spacing w:line="240" w:lineRule="auto"/>
              <w:jc w:val="left"/>
              <w:textAlignment w:val="auto"/>
              <w:rPr>
                <w:color w:val="000000"/>
                <w:szCs w:val="20"/>
              </w:rPr>
            </w:pPr>
            <w:r w:rsidRPr="00A05BB8">
              <w:rPr>
                <w:color w:val="000000"/>
                <w:szCs w:val="20"/>
              </w:rPr>
              <w:t> </w:t>
            </w:r>
          </w:p>
        </w:tc>
      </w:tr>
      <w:tr w:rsidR="0074246D" w:rsidRPr="00A05BB8">
        <w:trPr>
          <w:trHeight w:val="300"/>
        </w:trPr>
        <w:tc>
          <w:tcPr>
            <w:tcW w:w="824" w:type="dxa"/>
            <w:tcBorders>
              <w:top w:val="nil"/>
              <w:left w:val="single" w:sz="4" w:space="0" w:color="auto"/>
              <w:bottom w:val="single" w:sz="4" w:space="0" w:color="auto"/>
              <w:right w:val="single" w:sz="4" w:space="0" w:color="auto"/>
            </w:tcBorders>
            <w:shd w:val="clear" w:color="000000" w:fill="D8D8D8"/>
            <w:noWrap/>
            <w:vAlign w:val="bottom"/>
          </w:tcPr>
          <w:p w:rsidR="0074246D" w:rsidRPr="00A05BB8" w:rsidRDefault="0074246D" w:rsidP="00054A2A">
            <w:pPr>
              <w:widowControl/>
              <w:adjustRightInd/>
              <w:spacing w:line="240" w:lineRule="auto"/>
              <w:jc w:val="right"/>
              <w:textAlignment w:val="auto"/>
              <w:rPr>
                <w:color w:val="000000"/>
                <w:szCs w:val="20"/>
              </w:rPr>
            </w:pPr>
            <w:r w:rsidRPr="00A05BB8">
              <w:rPr>
                <w:color w:val="000000"/>
                <w:szCs w:val="20"/>
              </w:rPr>
              <w:t>28</w:t>
            </w:r>
          </w:p>
        </w:tc>
        <w:tc>
          <w:tcPr>
            <w:tcW w:w="7360" w:type="dxa"/>
            <w:tcBorders>
              <w:top w:val="nil"/>
              <w:left w:val="nil"/>
              <w:bottom w:val="single" w:sz="4" w:space="0" w:color="auto"/>
              <w:right w:val="single" w:sz="4" w:space="0" w:color="auto"/>
            </w:tcBorders>
            <w:shd w:val="clear" w:color="000000" w:fill="D8D8D8"/>
            <w:noWrap/>
            <w:vAlign w:val="bottom"/>
          </w:tcPr>
          <w:p w:rsidR="0074246D" w:rsidRPr="00A05BB8" w:rsidRDefault="0074246D" w:rsidP="00054A2A">
            <w:pPr>
              <w:widowControl/>
              <w:adjustRightInd/>
              <w:spacing w:line="240" w:lineRule="auto"/>
              <w:jc w:val="left"/>
              <w:textAlignment w:val="auto"/>
              <w:rPr>
                <w:color w:val="000000"/>
                <w:szCs w:val="20"/>
              </w:rPr>
            </w:pPr>
            <w:r w:rsidRPr="00A05BB8">
              <w:rPr>
                <w:color w:val="000000"/>
                <w:szCs w:val="20"/>
              </w:rPr>
              <w:t>Vyplacené měsíční bonusy</w:t>
            </w:r>
          </w:p>
        </w:tc>
        <w:tc>
          <w:tcPr>
            <w:tcW w:w="1551" w:type="dxa"/>
            <w:tcBorders>
              <w:top w:val="nil"/>
              <w:left w:val="nil"/>
              <w:bottom w:val="single" w:sz="4" w:space="0" w:color="auto"/>
              <w:right w:val="single" w:sz="4" w:space="0" w:color="auto"/>
            </w:tcBorders>
            <w:shd w:val="clear" w:color="000000" w:fill="D8D8D8"/>
            <w:noWrap/>
            <w:vAlign w:val="bottom"/>
          </w:tcPr>
          <w:p w:rsidR="0074246D" w:rsidRPr="00A05BB8" w:rsidRDefault="0074246D" w:rsidP="00054A2A">
            <w:pPr>
              <w:widowControl/>
              <w:adjustRightInd/>
              <w:spacing w:line="240" w:lineRule="auto"/>
              <w:jc w:val="right"/>
              <w:textAlignment w:val="auto"/>
              <w:rPr>
                <w:color w:val="000000"/>
                <w:szCs w:val="20"/>
              </w:rPr>
            </w:pPr>
            <w:r w:rsidRPr="00A05BB8">
              <w:rPr>
                <w:color w:val="000000"/>
                <w:szCs w:val="20"/>
              </w:rPr>
              <w:t>0</w:t>
            </w:r>
          </w:p>
        </w:tc>
      </w:tr>
      <w:tr w:rsidR="0074246D" w:rsidRPr="00A05BB8">
        <w:trPr>
          <w:trHeight w:val="300"/>
        </w:trPr>
        <w:tc>
          <w:tcPr>
            <w:tcW w:w="824" w:type="dxa"/>
            <w:tcBorders>
              <w:top w:val="nil"/>
              <w:left w:val="single" w:sz="4" w:space="0" w:color="auto"/>
              <w:bottom w:val="single" w:sz="4" w:space="0" w:color="auto"/>
              <w:right w:val="single" w:sz="4" w:space="0" w:color="auto"/>
            </w:tcBorders>
            <w:shd w:val="clear" w:color="000000" w:fill="D8D8D8"/>
            <w:noWrap/>
            <w:vAlign w:val="bottom"/>
          </w:tcPr>
          <w:p w:rsidR="0074246D" w:rsidRPr="00A05BB8" w:rsidRDefault="0074246D" w:rsidP="00054A2A">
            <w:pPr>
              <w:widowControl/>
              <w:adjustRightInd/>
              <w:spacing w:line="240" w:lineRule="auto"/>
              <w:jc w:val="right"/>
              <w:textAlignment w:val="auto"/>
              <w:rPr>
                <w:color w:val="000000"/>
                <w:szCs w:val="20"/>
              </w:rPr>
            </w:pPr>
            <w:r w:rsidRPr="00A05BB8">
              <w:rPr>
                <w:color w:val="000000"/>
                <w:szCs w:val="20"/>
              </w:rPr>
              <w:t>29</w:t>
            </w:r>
          </w:p>
        </w:tc>
        <w:tc>
          <w:tcPr>
            <w:tcW w:w="7360" w:type="dxa"/>
            <w:tcBorders>
              <w:top w:val="nil"/>
              <w:left w:val="nil"/>
              <w:bottom w:val="single" w:sz="4" w:space="0" w:color="auto"/>
              <w:right w:val="single" w:sz="4" w:space="0" w:color="auto"/>
            </w:tcBorders>
            <w:shd w:val="clear" w:color="000000" w:fill="D8D8D8"/>
            <w:noWrap/>
            <w:vAlign w:val="bottom"/>
          </w:tcPr>
          <w:p w:rsidR="0074246D" w:rsidRPr="00A05BB8" w:rsidRDefault="0074246D" w:rsidP="00054A2A">
            <w:pPr>
              <w:widowControl/>
              <w:adjustRightInd/>
              <w:spacing w:line="240" w:lineRule="auto"/>
              <w:jc w:val="left"/>
              <w:textAlignment w:val="auto"/>
              <w:rPr>
                <w:color w:val="000000"/>
                <w:szCs w:val="20"/>
              </w:rPr>
            </w:pPr>
            <w:r w:rsidRPr="00A05BB8">
              <w:rPr>
                <w:color w:val="000000"/>
                <w:szCs w:val="20"/>
              </w:rPr>
              <w:t>Rozdíl na daňovém bonusu</w:t>
            </w:r>
          </w:p>
        </w:tc>
        <w:tc>
          <w:tcPr>
            <w:tcW w:w="1551" w:type="dxa"/>
            <w:tcBorders>
              <w:top w:val="nil"/>
              <w:left w:val="nil"/>
              <w:bottom w:val="single" w:sz="4" w:space="0" w:color="auto"/>
              <w:right w:val="single" w:sz="4" w:space="0" w:color="auto"/>
            </w:tcBorders>
            <w:shd w:val="clear" w:color="000000" w:fill="D8D8D8"/>
            <w:noWrap/>
            <w:vAlign w:val="bottom"/>
          </w:tcPr>
          <w:p w:rsidR="0074246D" w:rsidRPr="00A05BB8" w:rsidRDefault="0074246D" w:rsidP="00054A2A">
            <w:pPr>
              <w:widowControl/>
              <w:adjustRightInd/>
              <w:spacing w:line="240" w:lineRule="auto"/>
              <w:jc w:val="right"/>
              <w:textAlignment w:val="auto"/>
              <w:rPr>
                <w:color w:val="000000"/>
                <w:szCs w:val="20"/>
              </w:rPr>
            </w:pPr>
            <w:r w:rsidRPr="00A05BB8">
              <w:rPr>
                <w:color w:val="000000"/>
                <w:szCs w:val="20"/>
              </w:rPr>
              <w:t>0</w:t>
            </w:r>
          </w:p>
        </w:tc>
      </w:tr>
      <w:tr w:rsidR="0074246D" w:rsidRPr="00A05BB8">
        <w:trPr>
          <w:trHeight w:val="300"/>
        </w:trPr>
        <w:tc>
          <w:tcPr>
            <w:tcW w:w="824" w:type="dxa"/>
            <w:tcBorders>
              <w:top w:val="nil"/>
              <w:left w:val="single" w:sz="4" w:space="0" w:color="auto"/>
              <w:bottom w:val="single" w:sz="4" w:space="0" w:color="auto"/>
              <w:right w:val="single" w:sz="4" w:space="0" w:color="auto"/>
            </w:tcBorders>
            <w:shd w:val="clear" w:color="000000" w:fill="D8D8D8"/>
            <w:noWrap/>
            <w:vAlign w:val="bottom"/>
          </w:tcPr>
          <w:p w:rsidR="0074246D" w:rsidRPr="00A05BB8" w:rsidRDefault="0074246D" w:rsidP="00054A2A">
            <w:pPr>
              <w:widowControl/>
              <w:adjustRightInd/>
              <w:spacing w:line="240" w:lineRule="auto"/>
              <w:jc w:val="left"/>
              <w:textAlignment w:val="auto"/>
              <w:rPr>
                <w:b/>
                <w:bCs/>
                <w:color w:val="000000"/>
                <w:szCs w:val="20"/>
              </w:rPr>
            </w:pPr>
            <w:r w:rsidRPr="00A05BB8">
              <w:rPr>
                <w:b/>
                <w:bCs/>
                <w:color w:val="000000"/>
                <w:szCs w:val="20"/>
              </w:rPr>
              <w:t> </w:t>
            </w:r>
          </w:p>
        </w:tc>
        <w:tc>
          <w:tcPr>
            <w:tcW w:w="7360" w:type="dxa"/>
            <w:tcBorders>
              <w:top w:val="nil"/>
              <w:left w:val="nil"/>
              <w:bottom w:val="single" w:sz="4" w:space="0" w:color="auto"/>
              <w:right w:val="single" w:sz="4" w:space="0" w:color="auto"/>
            </w:tcBorders>
            <w:shd w:val="clear" w:color="000000" w:fill="D8D8D8"/>
            <w:noWrap/>
            <w:vAlign w:val="bottom"/>
          </w:tcPr>
          <w:p w:rsidR="0074246D" w:rsidRPr="00A05BB8" w:rsidRDefault="0074246D" w:rsidP="00054A2A">
            <w:pPr>
              <w:widowControl/>
              <w:adjustRightInd/>
              <w:spacing w:line="240" w:lineRule="auto"/>
              <w:jc w:val="left"/>
              <w:textAlignment w:val="auto"/>
              <w:rPr>
                <w:b/>
                <w:bCs/>
                <w:color w:val="000000"/>
                <w:szCs w:val="20"/>
              </w:rPr>
            </w:pPr>
            <w:r w:rsidRPr="00A05BB8">
              <w:rPr>
                <w:b/>
                <w:bCs/>
                <w:color w:val="000000"/>
                <w:szCs w:val="20"/>
              </w:rPr>
              <w:t>Kompenzace rozdílů na dani a bonusu</w:t>
            </w:r>
          </w:p>
        </w:tc>
        <w:tc>
          <w:tcPr>
            <w:tcW w:w="1551" w:type="dxa"/>
            <w:tcBorders>
              <w:top w:val="nil"/>
              <w:left w:val="nil"/>
              <w:bottom w:val="single" w:sz="4" w:space="0" w:color="auto"/>
              <w:right w:val="single" w:sz="4" w:space="0" w:color="auto"/>
            </w:tcBorders>
            <w:shd w:val="clear" w:color="000000" w:fill="D8D8D8"/>
            <w:noWrap/>
            <w:vAlign w:val="bottom"/>
          </w:tcPr>
          <w:p w:rsidR="0074246D" w:rsidRPr="00A05BB8" w:rsidRDefault="00C042C5" w:rsidP="00054A2A">
            <w:pPr>
              <w:widowControl/>
              <w:adjustRightInd/>
              <w:spacing w:line="240" w:lineRule="auto"/>
              <w:jc w:val="right"/>
              <w:textAlignment w:val="auto"/>
              <w:rPr>
                <w:b/>
                <w:color w:val="000000"/>
                <w:szCs w:val="20"/>
              </w:rPr>
            </w:pPr>
            <w:r>
              <w:rPr>
                <w:b/>
                <w:color w:val="000000"/>
                <w:szCs w:val="20"/>
              </w:rPr>
              <w:t>398</w:t>
            </w:r>
          </w:p>
        </w:tc>
      </w:tr>
      <w:tr w:rsidR="0074246D" w:rsidRPr="00A05BB8">
        <w:trPr>
          <w:trHeight w:val="300"/>
        </w:trPr>
        <w:tc>
          <w:tcPr>
            <w:tcW w:w="824" w:type="dxa"/>
            <w:tcBorders>
              <w:top w:val="nil"/>
              <w:left w:val="single" w:sz="4" w:space="0" w:color="auto"/>
              <w:bottom w:val="single" w:sz="4" w:space="0" w:color="auto"/>
              <w:right w:val="single" w:sz="4" w:space="0" w:color="auto"/>
            </w:tcBorders>
            <w:shd w:val="clear" w:color="000000" w:fill="D8D8D8"/>
            <w:noWrap/>
            <w:vAlign w:val="bottom"/>
          </w:tcPr>
          <w:p w:rsidR="0074246D" w:rsidRPr="00A05BB8" w:rsidRDefault="0074246D" w:rsidP="00054A2A">
            <w:pPr>
              <w:widowControl/>
              <w:adjustRightInd/>
              <w:spacing w:line="240" w:lineRule="auto"/>
              <w:jc w:val="right"/>
              <w:textAlignment w:val="auto"/>
              <w:rPr>
                <w:color w:val="000000"/>
                <w:szCs w:val="20"/>
              </w:rPr>
            </w:pPr>
            <w:r w:rsidRPr="00A05BB8">
              <w:rPr>
                <w:color w:val="000000"/>
                <w:szCs w:val="20"/>
              </w:rPr>
              <w:t>30</w:t>
            </w:r>
          </w:p>
        </w:tc>
        <w:tc>
          <w:tcPr>
            <w:tcW w:w="7360" w:type="dxa"/>
            <w:tcBorders>
              <w:top w:val="nil"/>
              <w:left w:val="nil"/>
              <w:bottom w:val="single" w:sz="4" w:space="0" w:color="auto"/>
              <w:right w:val="single" w:sz="4" w:space="0" w:color="auto"/>
            </w:tcBorders>
            <w:shd w:val="clear" w:color="000000" w:fill="D8D8D8"/>
            <w:noWrap/>
            <w:vAlign w:val="bottom"/>
          </w:tcPr>
          <w:p w:rsidR="0074246D" w:rsidRPr="00A05BB8" w:rsidRDefault="0074246D" w:rsidP="00054A2A">
            <w:pPr>
              <w:widowControl/>
              <w:adjustRightInd/>
              <w:spacing w:line="240" w:lineRule="auto"/>
              <w:jc w:val="left"/>
              <w:textAlignment w:val="auto"/>
              <w:rPr>
                <w:color w:val="000000"/>
                <w:szCs w:val="20"/>
              </w:rPr>
            </w:pPr>
            <w:r w:rsidRPr="00A05BB8">
              <w:rPr>
                <w:color w:val="000000"/>
                <w:szCs w:val="20"/>
              </w:rPr>
              <w:t xml:space="preserve">Kompenzace rozdílů </w:t>
            </w:r>
          </w:p>
        </w:tc>
        <w:tc>
          <w:tcPr>
            <w:tcW w:w="1551" w:type="dxa"/>
            <w:tcBorders>
              <w:top w:val="nil"/>
              <w:left w:val="nil"/>
              <w:bottom w:val="single" w:sz="4" w:space="0" w:color="auto"/>
              <w:right w:val="single" w:sz="4" w:space="0" w:color="auto"/>
            </w:tcBorders>
            <w:shd w:val="clear" w:color="000000" w:fill="D8D8D8"/>
            <w:noWrap/>
            <w:vAlign w:val="bottom"/>
          </w:tcPr>
          <w:p w:rsidR="0074246D" w:rsidRPr="00A05BB8" w:rsidRDefault="0074246D" w:rsidP="00054A2A">
            <w:pPr>
              <w:widowControl/>
              <w:adjustRightInd/>
              <w:spacing w:line="240" w:lineRule="auto"/>
              <w:jc w:val="left"/>
              <w:textAlignment w:val="auto"/>
              <w:rPr>
                <w:color w:val="000000"/>
                <w:szCs w:val="20"/>
              </w:rPr>
            </w:pPr>
            <w:r w:rsidRPr="00A05BB8">
              <w:rPr>
                <w:color w:val="000000"/>
                <w:szCs w:val="20"/>
              </w:rPr>
              <w:t> </w:t>
            </w:r>
          </w:p>
        </w:tc>
      </w:tr>
      <w:tr w:rsidR="0074246D" w:rsidRPr="00A05BB8">
        <w:trPr>
          <w:trHeight w:val="300"/>
        </w:trPr>
        <w:tc>
          <w:tcPr>
            <w:tcW w:w="824" w:type="dxa"/>
            <w:tcBorders>
              <w:top w:val="nil"/>
              <w:left w:val="single" w:sz="4" w:space="0" w:color="auto"/>
              <w:bottom w:val="single" w:sz="4" w:space="0" w:color="auto"/>
              <w:right w:val="single" w:sz="4" w:space="0" w:color="auto"/>
            </w:tcBorders>
            <w:shd w:val="clear" w:color="000000" w:fill="D8D8D8"/>
            <w:noWrap/>
            <w:vAlign w:val="bottom"/>
          </w:tcPr>
          <w:p w:rsidR="0074246D" w:rsidRPr="00A05BB8" w:rsidRDefault="0074246D" w:rsidP="00054A2A">
            <w:pPr>
              <w:widowControl/>
              <w:adjustRightInd/>
              <w:spacing w:line="240" w:lineRule="auto"/>
              <w:jc w:val="right"/>
              <w:textAlignment w:val="auto"/>
              <w:rPr>
                <w:color w:val="000000"/>
                <w:szCs w:val="20"/>
              </w:rPr>
            </w:pPr>
            <w:r w:rsidRPr="00A05BB8">
              <w:rPr>
                <w:color w:val="000000"/>
                <w:szCs w:val="20"/>
              </w:rPr>
              <w:t>31</w:t>
            </w:r>
          </w:p>
        </w:tc>
        <w:tc>
          <w:tcPr>
            <w:tcW w:w="7360" w:type="dxa"/>
            <w:tcBorders>
              <w:top w:val="nil"/>
              <w:left w:val="nil"/>
              <w:bottom w:val="nil"/>
              <w:right w:val="nil"/>
            </w:tcBorders>
            <w:shd w:val="clear" w:color="000000" w:fill="D8D8D8"/>
            <w:noWrap/>
            <w:vAlign w:val="bottom"/>
          </w:tcPr>
          <w:p w:rsidR="0074246D" w:rsidRPr="00A05BB8" w:rsidRDefault="0074246D" w:rsidP="00054A2A">
            <w:pPr>
              <w:widowControl/>
              <w:adjustRightInd/>
              <w:spacing w:line="240" w:lineRule="auto"/>
              <w:jc w:val="left"/>
              <w:textAlignment w:val="auto"/>
              <w:rPr>
                <w:color w:val="000000"/>
                <w:szCs w:val="20"/>
              </w:rPr>
            </w:pPr>
            <w:r w:rsidRPr="00A05BB8">
              <w:rPr>
                <w:color w:val="000000"/>
                <w:szCs w:val="20"/>
              </w:rPr>
              <w:t>Přeplatek na dani po slevě</w:t>
            </w:r>
          </w:p>
        </w:tc>
        <w:tc>
          <w:tcPr>
            <w:tcW w:w="1551" w:type="dxa"/>
            <w:tcBorders>
              <w:top w:val="nil"/>
              <w:left w:val="single" w:sz="4" w:space="0" w:color="auto"/>
              <w:bottom w:val="single" w:sz="4" w:space="0" w:color="auto"/>
              <w:right w:val="single" w:sz="4" w:space="0" w:color="auto"/>
            </w:tcBorders>
            <w:shd w:val="clear" w:color="000000" w:fill="D8D8D8"/>
            <w:noWrap/>
            <w:vAlign w:val="bottom"/>
          </w:tcPr>
          <w:p w:rsidR="0074246D" w:rsidRPr="00A05BB8" w:rsidRDefault="00C042C5" w:rsidP="00054A2A">
            <w:pPr>
              <w:widowControl/>
              <w:adjustRightInd/>
              <w:spacing w:line="240" w:lineRule="auto"/>
              <w:jc w:val="right"/>
              <w:textAlignment w:val="auto"/>
              <w:rPr>
                <w:b/>
                <w:color w:val="000000"/>
                <w:szCs w:val="20"/>
              </w:rPr>
            </w:pPr>
            <w:r>
              <w:rPr>
                <w:b/>
                <w:color w:val="000000"/>
                <w:szCs w:val="20"/>
              </w:rPr>
              <w:t>398</w:t>
            </w:r>
          </w:p>
        </w:tc>
      </w:tr>
      <w:tr w:rsidR="0074246D" w:rsidRPr="00A05BB8">
        <w:trPr>
          <w:trHeight w:val="300"/>
        </w:trPr>
        <w:tc>
          <w:tcPr>
            <w:tcW w:w="824" w:type="dxa"/>
            <w:tcBorders>
              <w:top w:val="nil"/>
              <w:left w:val="nil"/>
              <w:bottom w:val="nil"/>
              <w:right w:val="nil"/>
            </w:tcBorders>
            <w:shd w:val="clear" w:color="auto" w:fill="auto"/>
            <w:noWrap/>
            <w:vAlign w:val="bottom"/>
          </w:tcPr>
          <w:p w:rsidR="0074246D" w:rsidRPr="00A05BB8" w:rsidRDefault="0074246D" w:rsidP="00054A2A">
            <w:pPr>
              <w:widowControl/>
              <w:adjustRightInd/>
              <w:spacing w:line="240" w:lineRule="auto"/>
              <w:jc w:val="left"/>
              <w:textAlignment w:val="auto"/>
              <w:rPr>
                <w:color w:val="000000"/>
                <w:szCs w:val="20"/>
              </w:rPr>
            </w:pPr>
          </w:p>
        </w:tc>
        <w:tc>
          <w:tcPr>
            <w:tcW w:w="7360"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74246D" w:rsidRPr="00A05BB8" w:rsidRDefault="0074246D" w:rsidP="00054A2A">
            <w:pPr>
              <w:widowControl/>
              <w:adjustRightInd/>
              <w:spacing w:line="240" w:lineRule="auto"/>
              <w:jc w:val="left"/>
              <w:textAlignment w:val="auto"/>
              <w:rPr>
                <w:color w:val="000000"/>
                <w:szCs w:val="20"/>
              </w:rPr>
            </w:pPr>
            <w:r w:rsidRPr="00A05BB8">
              <w:rPr>
                <w:color w:val="000000"/>
                <w:szCs w:val="20"/>
              </w:rPr>
              <w:t>Doplatek na daňovém bonusu</w:t>
            </w:r>
          </w:p>
        </w:tc>
        <w:tc>
          <w:tcPr>
            <w:tcW w:w="1551" w:type="dxa"/>
            <w:tcBorders>
              <w:top w:val="nil"/>
              <w:left w:val="nil"/>
              <w:bottom w:val="single" w:sz="4" w:space="0" w:color="auto"/>
              <w:right w:val="single" w:sz="4" w:space="0" w:color="auto"/>
            </w:tcBorders>
            <w:shd w:val="clear" w:color="000000" w:fill="D8D8D8"/>
            <w:noWrap/>
            <w:vAlign w:val="bottom"/>
          </w:tcPr>
          <w:p w:rsidR="0074246D" w:rsidRPr="00A05BB8" w:rsidRDefault="0074246D" w:rsidP="00054A2A">
            <w:pPr>
              <w:widowControl/>
              <w:adjustRightInd/>
              <w:spacing w:line="240" w:lineRule="auto"/>
              <w:jc w:val="right"/>
              <w:textAlignment w:val="auto"/>
              <w:rPr>
                <w:color w:val="000000"/>
                <w:szCs w:val="20"/>
              </w:rPr>
            </w:pPr>
            <w:r w:rsidRPr="00A05BB8">
              <w:rPr>
                <w:color w:val="000000"/>
                <w:szCs w:val="20"/>
              </w:rPr>
              <w:t>0</w:t>
            </w:r>
          </w:p>
        </w:tc>
      </w:tr>
    </w:tbl>
    <w:p w:rsidR="0074246D" w:rsidRPr="00A05BB8" w:rsidRDefault="0074246D" w:rsidP="0074246D">
      <w:pPr>
        <w:rPr>
          <w:szCs w:val="20"/>
        </w:rPr>
      </w:pPr>
    </w:p>
    <w:p w:rsidR="0074246D" w:rsidRPr="001360A9" w:rsidRDefault="0074246D" w:rsidP="0074246D">
      <w:pPr>
        <w:pStyle w:val="Nadpis2"/>
        <w:numPr>
          <w:ilvl w:val="1"/>
          <w:numId w:val="1"/>
        </w:numPr>
      </w:pPr>
      <w:r>
        <w:br w:type="page"/>
      </w:r>
      <w:r w:rsidRPr="001360A9">
        <w:lastRenderedPageBreak/>
        <w:t xml:space="preserve"> </w:t>
      </w:r>
      <w:bookmarkStart w:id="86" w:name="_Toc376422283"/>
      <w:r w:rsidRPr="001360A9">
        <w:t>Z hlediska programu Helios Orange</w:t>
      </w:r>
      <w:bookmarkEnd w:id="86"/>
      <w:r w:rsidRPr="001360A9">
        <w:t xml:space="preserve"> </w:t>
      </w:r>
    </w:p>
    <w:p w:rsidR="0074246D" w:rsidRPr="001360A9" w:rsidRDefault="0074246D" w:rsidP="0074246D">
      <w:pPr>
        <w:rPr>
          <w:b/>
        </w:rPr>
      </w:pPr>
      <w:r w:rsidRPr="001360A9">
        <w:rPr>
          <w:b/>
        </w:rPr>
        <w:t xml:space="preserve">Příklad </w:t>
      </w:r>
    </w:p>
    <w:p w:rsidR="0074246D" w:rsidRDefault="001360A9" w:rsidP="0074246D">
      <w:r>
        <w:t>Pan Rorýs</w:t>
      </w:r>
      <w:r w:rsidR="0074246D" w:rsidRPr="001360A9">
        <w:t xml:space="preserve">, </w:t>
      </w:r>
      <w:r>
        <w:t xml:space="preserve">který </w:t>
      </w:r>
      <w:r w:rsidR="0074246D" w:rsidRPr="001360A9">
        <w:t xml:space="preserve">uplatňuje slevu na poplatníka a </w:t>
      </w:r>
      <w:r>
        <w:t>daňové zvýhodnění na jedno dít</w:t>
      </w:r>
      <w:r w:rsidR="00987798">
        <w:t>ě</w:t>
      </w:r>
      <w:r w:rsidR="0074246D" w:rsidRPr="001360A9">
        <w:t xml:space="preserve"> (za celý rok) požáda</w:t>
      </w:r>
      <w:r>
        <w:t xml:space="preserve">l o roční zúčtování za rok </w:t>
      </w:r>
      <w:r w:rsidR="00C345B2">
        <w:t>2013</w:t>
      </w:r>
    </w:p>
    <w:p w:rsidR="001360A9" w:rsidRDefault="001360A9" w:rsidP="0074246D"/>
    <w:tbl>
      <w:tblPr>
        <w:tblW w:w="9440" w:type="dxa"/>
        <w:tblInd w:w="55" w:type="dxa"/>
        <w:tblCellMar>
          <w:left w:w="70" w:type="dxa"/>
          <w:right w:w="70" w:type="dxa"/>
        </w:tblCellMar>
        <w:tblLook w:val="0000" w:firstRow="0" w:lastRow="0" w:firstColumn="0" w:lastColumn="0" w:noHBand="0" w:noVBand="0"/>
      </w:tblPr>
      <w:tblGrid>
        <w:gridCol w:w="2940"/>
        <w:gridCol w:w="5540"/>
        <w:gridCol w:w="960"/>
      </w:tblGrid>
      <w:tr w:rsidR="001360A9" w:rsidRPr="00225405">
        <w:trPr>
          <w:trHeight w:val="315"/>
        </w:trPr>
        <w:tc>
          <w:tcPr>
            <w:tcW w:w="2940" w:type="dxa"/>
            <w:tcBorders>
              <w:top w:val="single" w:sz="4" w:space="0" w:color="auto"/>
              <w:left w:val="single" w:sz="4" w:space="0" w:color="auto"/>
              <w:bottom w:val="nil"/>
              <w:right w:val="single" w:sz="4" w:space="0" w:color="auto"/>
            </w:tcBorders>
            <w:shd w:val="clear" w:color="auto" w:fill="FFFF99"/>
            <w:noWrap/>
            <w:vAlign w:val="bottom"/>
          </w:tcPr>
          <w:p w:rsidR="001360A9" w:rsidRPr="00225405" w:rsidRDefault="001360A9" w:rsidP="001360A9">
            <w:pPr>
              <w:widowControl/>
              <w:adjustRightInd/>
              <w:spacing w:line="240" w:lineRule="auto"/>
              <w:jc w:val="left"/>
              <w:textAlignment w:val="auto"/>
              <w:rPr>
                <w:rFonts w:cs="Arial"/>
                <w:szCs w:val="20"/>
              </w:rPr>
            </w:pPr>
            <w:r w:rsidRPr="00225405">
              <w:rPr>
                <w:rFonts w:cs="Arial"/>
                <w:szCs w:val="20"/>
              </w:rPr>
              <w:t> </w:t>
            </w:r>
          </w:p>
        </w:tc>
        <w:tc>
          <w:tcPr>
            <w:tcW w:w="5540" w:type="dxa"/>
            <w:tcBorders>
              <w:top w:val="single" w:sz="4" w:space="0" w:color="auto"/>
              <w:left w:val="nil"/>
              <w:bottom w:val="nil"/>
              <w:right w:val="nil"/>
            </w:tcBorders>
            <w:shd w:val="clear" w:color="auto" w:fill="FFFF99"/>
            <w:noWrap/>
            <w:vAlign w:val="bottom"/>
          </w:tcPr>
          <w:p w:rsidR="001360A9" w:rsidRPr="00225405" w:rsidRDefault="001360A9" w:rsidP="000C5858">
            <w:pPr>
              <w:widowControl/>
              <w:adjustRightInd/>
              <w:spacing w:line="240" w:lineRule="auto"/>
              <w:jc w:val="left"/>
              <w:textAlignment w:val="auto"/>
              <w:rPr>
                <w:rFonts w:cs="Arial"/>
                <w:b/>
                <w:bCs/>
                <w:szCs w:val="20"/>
              </w:rPr>
            </w:pPr>
            <w:r w:rsidRPr="00225405">
              <w:rPr>
                <w:rFonts w:cs="Arial"/>
                <w:b/>
                <w:bCs/>
                <w:szCs w:val="20"/>
              </w:rPr>
              <w:t xml:space="preserve">Roční zúčtování za rok </w:t>
            </w:r>
            <w:r w:rsidR="00C345B2">
              <w:rPr>
                <w:rFonts w:cs="Arial"/>
                <w:b/>
                <w:bCs/>
                <w:szCs w:val="20"/>
              </w:rPr>
              <w:t>2013</w:t>
            </w:r>
          </w:p>
        </w:tc>
        <w:tc>
          <w:tcPr>
            <w:tcW w:w="960" w:type="dxa"/>
            <w:tcBorders>
              <w:top w:val="single" w:sz="4" w:space="0" w:color="auto"/>
              <w:left w:val="single" w:sz="4" w:space="0" w:color="auto"/>
              <w:bottom w:val="nil"/>
              <w:right w:val="single" w:sz="4" w:space="0" w:color="auto"/>
            </w:tcBorders>
            <w:shd w:val="clear" w:color="auto" w:fill="FFFF99"/>
            <w:noWrap/>
            <w:vAlign w:val="bottom"/>
          </w:tcPr>
          <w:p w:rsidR="001360A9" w:rsidRPr="00225405" w:rsidRDefault="001360A9" w:rsidP="001360A9">
            <w:pPr>
              <w:widowControl/>
              <w:adjustRightInd/>
              <w:spacing w:line="240" w:lineRule="auto"/>
              <w:jc w:val="left"/>
              <w:textAlignment w:val="auto"/>
              <w:rPr>
                <w:rFonts w:cs="Arial"/>
                <w:szCs w:val="20"/>
              </w:rPr>
            </w:pPr>
            <w:r w:rsidRPr="00225405">
              <w:rPr>
                <w:rFonts w:cs="Arial"/>
                <w:szCs w:val="20"/>
              </w:rPr>
              <w:t> </w:t>
            </w:r>
          </w:p>
        </w:tc>
      </w:tr>
      <w:tr w:rsidR="001360A9" w:rsidRPr="00225405">
        <w:trPr>
          <w:trHeight w:val="255"/>
        </w:trPr>
        <w:tc>
          <w:tcPr>
            <w:tcW w:w="2940" w:type="dxa"/>
            <w:tcBorders>
              <w:top w:val="nil"/>
              <w:left w:val="single" w:sz="4" w:space="0" w:color="auto"/>
              <w:bottom w:val="nil"/>
              <w:right w:val="single" w:sz="4" w:space="0" w:color="auto"/>
            </w:tcBorders>
            <w:shd w:val="clear" w:color="auto" w:fill="FFFF99"/>
            <w:noWrap/>
            <w:vAlign w:val="bottom"/>
          </w:tcPr>
          <w:p w:rsidR="001360A9" w:rsidRPr="00225405" w:rsidRDefault="001360A9" w:rsidP="001360A9">
            <w:pPr>
              <w:widowControl/>
              <w:adjustRightInd/>
              <w:spacing w:line="240" w:lineRule="auto"/>
              <w:jc w:val="left"/>
              <w:textAlignment w:val="auto"/>
              <w:rPr>
                <w:rFonts w:cs="Arial"/>
                <w:szCs w:val="20"/>
              </w:rPr>
            </w:pPr>
            <w:r w:rsidRPr="00225405">
              <w:rPr>
                <w:rFonts w:cs="Arial"/>
                <w:szCs w:val="20"/>
              </w:rPr>
              <w:t> </w:t>
            </w:r>
          </w:p>
        </w:tc>
        <w:tc>
          <w:tcPr>
            <w:tcW w:w="5540" w:type="dxa"/>
            <w:tcBorders>
              <w:top w:val="nil"/>
              <w:left w:val="nil"/>
              <w:bottom w:val="nil"/>
              <w:right w:val="nil"/>
            </w:tcBorders>
            <w:shd w:val="clear" w:color="auto" w:fill="FFFF99"/>
            <w:noWrap/>
            <w:vAlign w:val="bottom"/>
          </w:tcPr>
          <w:p w:rsidR="001360A9" w:rsidRPr="00225405" w:rsidRDefault="001360A9" w:rsidP="001360A9">
            <w:pPr>
              <w:widowControl/>
              <w:adjustRightInd/>
              <w:spacing w:line="240" w:lineRule="auto"/>
              <w:jc w:val="left"/>
              <w:textAlignment w:val="auto"/>
              <w:rPr>
                <w:rFonts w:cs="Arial"/>
                <w:szCs w:val="20"/>
              </w:rPr>
            </w:pPr>
            <w:r w:rsidRPr="00225405">
              <w:rPr>
                <w:rFonts w:cs="Arial"/>
                <w:szCs w:val="20"/>
              </w:rPr>
              <w:t> </w:t>
            </w:r>
          </w:p>
        </w:tc>
        <w:tc>
          <w:tcPr>
            <w:tcW w:w="960" w:type="dxa"/>
            <w:tcBorders>
              <w:top w:val="nil"/>
              <w:left w:val="single" w:sz="4" w:space="0" w:color="auto"/>
              <w:bottom w:val="nil"/>
              <w:right w:val="single" w:sz="4" w:space="0" w:color="auto"/>
            </w:tcBorders>
            <w:shd w:val="clear" w:color="auto" w:fill="FFFF99"/>
            <w:noWrap/>
            <w:vAlign w:val="bottom"/>
          </w:tcPr>
          <w:p w:rsidR="001360A9" w:rsidRPr="00225405" w:rsidRDefault="001360A9" w:rsidP="001360A9">
            <w:pPr>
              <w:widowControl/>
              <w:adjustRightInd/>
              <w:spacing w:line="240" w:lineRule="auto"/>
              <w:jc w:val="left"/>
              <w:textAlignment w:val="auto"/>
              <w:rPr>
                <w:rFonts w:cs="Arial"/>
                <w:szCs w:val="20"/>
              </w:rPr>
            </w:pPr>
            <w:r w:rsidRPr="00225405">
              <w:rPr>
                <w:rFonts w:cs="Arial"/>
                <w:szCs w:val="20"/>
              </w:rPr>
              <w:t> </w:t>
            </w:r>
          </w:p>
        </w:tc>
      </w:tr>
      <w:tr w:rsidR="001360A9" w:rsidRPr="00225405">
        <w:trPr>
          <w:trHeight w:val="255"/>
        </w:trPr>
        <w:tc>
          <w:tcPr>
            <w:tcW w:w="2940" w:type="dxa"/>
            <w:tcBorders>
              <w:top w:val="nil"/>
              <w:left w:val="single" w:sz="4" w:space="0" w:color="auto"/>
              <w:bottom w:val="nil"/>
              <w:right w:val="single" w:sz="4" w:space="0" w:color="auto"/>
            </w:tcBorders>
            <w:shd w:val="clear" w:color="auto" w:fill="FFFF99"/>
            <w:noWrap/>
            <w:vAlign w:val="bottom"/>
          </w:tcPr>
          <w:p w:rsidR="001360A9" w:rsidRPr="00225405" w:rsidRDefault="001360A9" w:rsidP="001360A9">
            <w:pPr>
              <w:widowControl/>
              <w:adjustRightInd/>
              <w:spacing w:line="240" w:lineRule="auto"/>
              <w:jc w:val="left"/>
              <w:textAlignment w:val="auto"/>
              <w:rPr>
                <w:rFonts w:cs="Arial"/>
                <w:b/>
                <w:bCs/>
                <w:szCs w:val="20"/>
              </w:rPr>
            </w:pPr>
            <w:r w:rsidRPr="00225405">
              <w:rPr>
                <w:rFonts w:cs="Arial"/>
                <w:b/>
                <w:bCs/>
                <w:szCs w:val="20"/>
              </w:rPr>
              <w:t>Podklady pro roční zúčtování</w:t>
            </w:r>
          </w:p>
        </w:tc>
        <w:tc>
          <w:tcPr>
            <w:tcW w:w="5540" w:type="dxa"/>
            <w:tcBorders>
              <w:top w:val="nil"/>
              <w:left w:val="nil"/>
              <w:bottom w:val="nil"/>
              <w:right w:val="nil"/>
            </w:tcBorders>
            <w:shd w:val="clear" w:color="auto" w:fill="FFFF99"/>
            <w:noWrap/>
            <w:vAlign w:val="bottom"/>
          </w:tcPr>
          <w:p w:rsidR="001360A9" w:rsidRPr="00225405" w:rsidRDefault="001360A9" w:rsidP="001360A9">
            <w:pPr>
              <w:widowControl/>
              <w:adjustRightInd/>
              <w:spacing w:line="240" w:lineRule="auto"/>
              <w:jc w:val="left"/>
              <w:textAlignment w:val="auto"/>
              <w:rPr>
                <w:rFonts w:cs="Arial"/>
                <w:b/>
                <w:bCs/>
                <w:szCs w:val="20"/>
              </w:rPr>
            </w:pPr>
            <w:r w:rsidRPr="00225405">
              <w:rPr>
                <w:rFonts w:cs="Arial"/>
                <w:b/>
                <w:bCs/>
                <w:szCs w:val="20"/>
              </w:rPr>
              <w:t xml:space="preserve">Roční daň </w:t>
            </w:r>
            <w:r w:rsidRPr="00225405">
              <w:rPr>
                <w:rFonts w:cs="Arial"/>
                <w:szCs w:val="20"/>
              </w:rPr>
              <w:t>(úhrn příjmu-pojistné-nezd.částka)</w:t>
            </w:r>
          </w:p>
        </w:tc>
        <w:tc>
          <w:tcPr>
            <w:tcW w:w="960" w:type="dxa"/>
            <w:tcBorders>
              <w:top w:val="nil"/>
              <w:left w:val="single" w:sz="4" w:space="0" w:color="auto"/>
              <w:bottom w:val="nil"/>
              <w:right w:val="single" w:sz="4" w:space="0" w:color="auto"/>
            </w:tcBorders>
            <w:shd w:val="clear" w:color="auto" w:fill="FFFF99"/>
            <w:noWrap/>
            <w:vAlign w:val="bottom"/>
          </w:tcPr>
          <w:p w:rsidR="001360A9" w:rsidRPr="00225405" w:rsidRDefault="001360A9" w:rsidP="001360A9">
            <w:pPr>
              <w:widowControl/>
              <w:adjustRightInd/>
              <w:spacing w:line="240" w:lineRule="auto"/>
              <w:jc w:val="right"/>
              <w:textAlignment w:val="auto"/>
              <w:rPr>
                <w:rFonts w:cs="Arial"/>
                <w:szCs w:val="20"/>
              </w:rPr>
            </w:pPr>
            <w:r w:rsidRPr="00225405">
              <w:rPr>
                <w:rFonts w:cs="Arial"/>
                <w:szCs w:val="20"/>
              </w:rPr>
              <w:t>21 495</w:t>
            </w:r>
          </w:p>
        </w:tc>
      </w:tr>
      <w:tr w:rsidR="001360A9" w:rsidRPr="00225405">
        <w:trPr>
          <w:trHeight w:val="255"/>
        </w:trPr>
        <w:tc>
          <w:tcPr>
            <w:tcW w:w="2940" w:type="dxa"/>
            <w:tcBorders>
              <w:top w:val="nil"/>
              <w:left w:val="single" w:sz="4" w:space="0" w:color="auto"/>
              <w:bottom w:val="nil"/>
              <w:right w:val="single" w:sz="4" w:space="0" w:color="auto"/>
            </w:tcBorders>
            <w:shd w:val="clear" w:color="auto" w:fill="FFFF99"/>
            <w:noWrap/>
            <w:vAlign w:val="bottom"/>
          </w:tcPr>
          <w:p w:rsidR="001360A9" w:rsidRPr="00225405" w:rsidRDefault="001360A9" w:rsidP="001360A9">
            <w:pPr>
              <w:widowControl/>
              <w:adjustRightInd/>
              <w:spacing w:line="240" w:lineRule="auto"/>
              <w:jc w:val="left"/>
              <w:textAlignment w:val="auto"/>
              <w:rPr>
                <w:rFonts w:cs="Arial"/>
                <w:szCs w:val="20"/>
              </w:rPr>
            </w:pPr>
            <w:r w:rsidRPr="00225405">
              <w:rPr>
                <w:rFonts w:cs="Arial"/>
                <w:szCs w:val="20"/>
              </w:rPr>
              <w:t> </w:t>
            </w:r>
          </w:p>
        </w:tc>
        <w:tc>
          <w:tcPr>
            <w:tcW w:w="5540" w:type="dxa"/>
            <w:tcBorders>
              <w:top w:val="nil"/>
              <w:left w:val="nil"/>
              <w:bottom w:val="nil"/>
              <w:right w:val="nil"/>
            </w:tcBorders>
            <w:shd w:val="clear" w:color="auto" w:fill="FFFF99"/>
            <w:noWrap/>
            <w:vAlign w:val="bottom"/>
          </w:tcPr>
          <w:p w:rsidR="001360A9" w:rsidRPr="00225405" w:rsidRDefault="001360A9" w:rsidP="001360A9">
            <w:pPr>
              <w:widowControl/>
              <w:adjustRightInd/>
              <w:spacing w:line="240" w:lineRule="auto"/>
              <w:jc w:val="left"/>
              <w:textAlignment w:val="auto"/>
              <w:rPr>
                <w:rFonts w:cs="Arial"/>
                <w:b/>
                <w:bCs/>
                <w:szCs w:val="20"/>
              </w:rPr>
            </w:pPr>
            <w:r w:rsidRPr="00225405">
              <w:rPr>
                <w:rFonts w:cs="Arial"/>
                <w:b/>
                <w:bCs/>
                <w:szCs w:val="20"/>
              </w:rPr>
              <w:t xml:space="preserve">Zaplacené zálohy </w:t>
            </w:r>
            <w:r w:rsidRPr="00225405">
              <w:rPr>
                <w:rFonts w:cs="Arial"/>
                <w:szCs w:val="20"/>
              </w:rPr>
              <w:t>(po slevě)</w:t>
            </w:r>
          </w:p>
        </w:tc>
        <w:tc>
          <w:tcPr>
            <w:tcW w:w="960" w:type="dxa"/>
            <w:tcBorders>
              <w:top w:val="nil"/>
              <w:left w:val="single" w:sz="4" w:space="0" w:color="auto"/>
              <w:bottom w:val="nil"/>
              <w:right w:val="single" w:sz="4" w:space="0" w:color="auto"/>
            </w:tcBorders>
            <w:shd w:val="clear" w:color="auto" w:fill="FFFF99"/>
            <w:noWrap/>
            <w:vAlign w:val="bottom"/>
          </w:tcPr>
          <w:p w:rsidR="001360A9" w:rsidRPr="00225405" w:rsidRDefault="001360A9" w:rsidP="001360A9">
            <w:pPr>
              <w:widowControl/>
              <w:adjustRightInd/>
              <w:spacing w:line="240" w:lineRule="auto"/>
              <w:jc w:val="right"/>
              <w:textAlignment w:val="auto"/>
              <w:rPr>
                <w:rFonts w:cs="Arial"/>
                <w:szCs w:val="20"/>
              </w:rPr>
            </w:pPr>
            <w:r w:rsidRPr="00225405">
              <w:rPr>
                <w:rFonts w:cs="Arial"/>
                <w:szCs w:val="20"/>
              </w:rPr>
              <w:t>220</w:t>
            </w:r>
          </w:p>
        </w:tc>
      </w:tr>
      <w:tr w:rsidR="001360A9" w:rsidRPr="00225405">
        <w:trPr>
          <w:trHeight w:val="255"/>
        </w:trPr>
        <w:tc>
          <w:tcPr>
            <w:tcW w:w="2940" w:type="dxa"/>
            <w:tcBorders>
              <w:top w:val="nil"/>
              <w:left w:val="single" w:sz="4" w:space="0" w:color="auto"/>
              <w:bottom w:val="nil"/>
              <w:right w:val="single" w:sz="4" w:space="0" w:color="auto"/>
            </w:tcBorders>
            <w:shd w:val="clear" w:color="auto" w:fill="FFFF99"/>
            <w:noWrap/>
            <w:vAlign w:val="bottom"/>
          </w:tcPr>
          <w:p w:rsidR="001360A9" w:rsidRPr="00225405" w:rsidRDefault="001360A9" w:rsidP="001360A9">
            <w:pPr>
              <w:widowControl/>
              <w:adjustRightInd/>
              <w:spacing w:line="240" w:lineRule="auto"/>
              <w:jc w:val="left"/>
              <w:textAlignment w:val="auto"/>
              <w:rPr>
                <w:rFonts w:cs="Arial"/>
                <w:szCs w:val="20"/>
              </w:rPr>
            </w:pPr>
            <w:r w:rsidRPr="00225405">
              <w:rPr>
                <w:rFonts w:cs="Arial"/>
                <w:szCs w:val="20"/>
              </w:rPr>
              <w:t> </w:t>
            </w:r>
          </w:p>
        </w:tc>
        <w:tc>
          <w:tcPr>
            <w:tcW w:w="5540" w:type="dxa"/>
            <w:tcBorders>
              <w:top w:val="nil"/>
              <w:left w:val="nil"/>
              <w:bottom w:val="nil"/>
              <w:right w:val="nil"/>
            </w:tcBorders>
            <w:shd w:val="clear" w:color="auto" w:fill="FFFF99"/>
            <w:noWrap/>
            <w:vAlign w:val="bottom"/>
          </w:tcPr>
          <w:p w:rsidR="001360A9" w:rsidRPr="00225405" w:rsidRDefault="001360A9" w:rsidP="001360A9">
            <w:pPr>
              <w:widowControl/>
              <w:adjustRightInd/>
              <w:spacing w:line="240" w:lineRule="auto"/>
              <w:jc w:val="left"/>
              <w:textAlignment w:val="auto"/>
              <w:rPr>
                <w:rFonts w:cs="Arial"/>
                <w:b/>
                <w:bCs/>
                <w:szCs w:val="20"/>
              </w:rPr>
            </w:pPr>
            <w:r w:rsidRPr="00225405">
              <w:rPr>
                <w:rFonts w:cs="Arial"/>
                <w:b/>
                <w:bCs/>
                <w:szCs w:val="20"/>
              </w:rPr>
              <w:t>Vyplaceno na bonusech</w:t>
            </w:r>
          </w:p>
        </w:tc>
        <w:tc>
          <w:tcPr>
            <w:tcW w:w="960" w:type="dxa"/>
            <w:tcBorders>
              <w:top w:val="nil"/>
              <w:left w:val="single" w:sz="4" w:space="0" w:color="auto"/>
              <w:bottom w:val="nil"/>
              <w:right w:val="single" w:sz="4" w:space="0" w:color="auto"/>
            </w:tcBorders>
            <w:shd w:val="clear" w:color="auto" w:fill="FFFF99"/>
            <w:noWrap/>
            <w:vAlign w:val="bottom"/>
          </w:tcPr>
          <w:p w:rsidR="001360A9" w:rsidRPr="00225405" w:rsidRDefault="001360A9" w:rsidP="001360A9">
            <w:pPr>
              <w:widowControl/>
              <w:adjustRightInd/>
              <w:spacing w:line="240" w:lineRule="auto"/>
              <w:jc w:val="right"/>
              <w:textAlignment w:val="auto"/>
              <w:rPr>
                <w:rFonts w:cs="Arial"/>
                <w:szCs w:val="20"/>
              </w:rPr>
            </w:pPr>
            <w:r w:rsidRPr="00225405">
              <w:rPr>
                <w:rFonts w:cs="Arial"/>
                <w:szCs w:val="20"/>
              </w:rPr>
              <w:t>7 065</w:t>
            </w:r>
          </w:p>
        </w:tc>
      </w:tr>
      <w:tr w:rsidR="001360A9" w:rsidRPr="00225405">
        <w:trPr>
          <w:trHeight w:val="255"/>
        </w:trPr>
        <w:tc>
          <w:tcPr>
            <w:tcW w:w="2940" w:type="dxa"/>
            <w:tcBorders>
              <w:top w:val="nil"/>
              <w:left w:val="single" w:sz="4" w:space="0" w:color="auto"/>
              <w:bottom w:val="single" w:sz="4" w:space="0" w:color="auto"/>
              <w:right w:val="single" w:sz="4" w:space="0" w:color="auto"/>
            </w:tcBorders>
            <w:shd w:val="clear" w:color="auto" w:fill="FFFF99"/>
            <w:noWrap/>
            <w:vAlign w:val="bottom"/>
          </w:tcPr>
          <w:p w:rsidR="001360A9" w:rsidRPr="00225405" w:rsidRDefault="001360A9" w:rsidP="001360A9">
            <w:pPr>
              <w:widowControl/>
              <w:adjustRightInd/>
              <w:spacing w:line="240" w:lineRule="auto"/>
              <w:jc w:val="left"/>
              <w:textAlignment w:val="auto"/>
              <w:rPr>
                <w:rFonts w:cs="Arial"/>
                <w:szCs w:val="20"/>
              </w:rPr>
            </w:pPr>
            <w:r w:rsidRPr="00225405">
              <w:rPr>
                <w:rFonts w:cs="Arial"/>
                <w:szCs w:val="20"/>
              </w:rPr>
              <w:t> </w:t>
            </w:r>
          </w:p>
        </w:tc>
        <w:tc>
          <w:tcPr>
            <w:tcW w:w="5540" w:type="dxa"/>
            <w:tcBorders>
              <w:top w:val="nil"/>
              <w:left w:val="nil"/>
              <w:bottom w:val="single" w:sz="4" w:space="0" w:color="auto"/>
              <w:right w:val="nil"/>
            </w:tcBorders>
            <w:shd w:val="clear" w:color="auto" w:fill="FFFF99"/>
            <w:noWrap/>
            <w:vAlign w:val="bottom"/>
          </w:tcPr>
          <w:p w:rsidR="001360A9" w:rsidRPr="00225405" w:rsidRDefault="001360A9" w:rsidP="001360A9">
            <w:pPr>
              <w:widowControl/>
              <w:adjustRightInd/>
              <w:spacing w:line="240" w:lineRule="auto"/>
              <w:jc w:val="left"/>
              <w:textAlignment w:val="auto"/>
              <w:rPr>
                <w:rFonts w:cs="Arial"/>
                <w:b/>
                <w:bCs/>
                <w:szCs w:val="20"/>
              </w:rPr>
            </w:pPr>
            <w:r w:rsidRPr="00225405">
              <w:rPr>
                <w:rFonts w:cs="Arial"/>
                <w:b/>
                <w:bCs/>
                <w:szCs w:val="20"/>
              </w:rPr>
              <w:t>Roční úhrn slevy na poplatníka - 35ba</w:t>
            </w:r>
          </w:p>
        </w:tc>
        <w:tc>
          <w:tcPr>
            <w:tcW w:w="960" w:type="dxa"/>
            <w:tcBorders>
              <w:top w:val="nil"/>
              <w:left w:val="single" w:sz="4" w:space="0" w:color="auto"/>
              <w:bottom w:val="single" w:sz="4" w:space="0" w:color="auto"/>
              <w:right w:val="single" w:sz="4" w:space="0" w:color="auto"/>
            </w:tcBorders>
            <w:shd w:val="clear" w:color="auto" w:fill="FFFF99"/>
            <w:noWrap/>
            <w:vAlign w:val="bottom"/>
          </w:tcPr>
          <w:p w:rsidR="001360A9" w:rsidRPr="00225405" w:rsidRDefault="001360A9" w:rsidP="001360A9">
            <w:pPr>
              <w:widowControl/>
              <w:adjustRightInd/>
              <w:spacing w:line="240" w:lineRule="auto"/>
              <w:jc w:val="right"/>
              <w:textAlignment w:val="auto"/>
              <w:rPr>
                <w:rFonts w:cs="Arial"/>
                <w:szCs w:val="20"/>
              </w:rPr>
            </w:pPr>
            <w:r w:rsidRPr="00225405">
              <w:rPr>
                <w:rFonts w:cs="Arial"/>
                <w:szCs w:val="20"/>
              </w:rPr>
              <w:t>24 840</w:t>
            </w:r>
          </w:p>
        </w:tc>
      </w:tr>
      <w:tr w:rsidR="001360A9" w:rsidRPr="00225405">
        <w:trPr>
          <w:trHeight w:val="255"/>
        </w:trPr>
        <w:tc>
          <w:tcPr>
            <w:tcW w:w="2940" w:type="dxa"/>
            <w:tcBorders>
              <w:top w:val="nil"/>
              <w:left w:val="single" w:sz="4" w:space="0" w:color="auto"/>
              <w:bottom w:val="nil"/>
              <w:right w:val="nil"/>
            </w:tcBorders>
            <w:shd w:val="clear" w:color="auto" w:fill="FFCC99"/>
            <w:noWrap/>
            <w:vAlign w:val="bottom"/>
          </w:tcPr>
          <w:p w:rsidR="001360A9" w:rsidRPr="00225405" w:rsidRDefault="001360A9" w:rsidP="001360A9">
            <w:pPr>
              <w:widowControl/>
              <w:adjustRightInd/>
              <w:spacing w:line="240" w:lineRule="auto"/>
              <w:jc w:val="left"/>
              <w:textAlignment w:val="auto"/>
              <w:rPr>
                <w:rFonts w:cs="Arial"/>
                <w:szCs w:val="20"/>
              </w:rPr>
            </w:pPr>
            <w:r w:rsidRPr="00225405">
              <w:rPr>
                <w:rFonts w:cs="Arial"/>
                <w:szCs w:val="20"/>
              </w:rPr>
              <w:t> </w:t>
            </w:r>
          </w:p>
        </w:tc>
        <w:tc>
          <w:tcPr>
            <w:tcW w:w="5540" w:type="dxa"/>
            <w:tcBorders>
              <w:top w:val="nil"/>
              <w:left w:val="single" w:sz="4" w:space="0" w:color="auto"/>
              <w:bottom w:val="nil"/>
              <w:right w:val="nil"/>
            </w:tcBorders>
            <w:shd w:val="clear" w:color="auto" w:fill="FFCC99"/>
            <w:noWrap/>
            <w:vAlign w:val="bottom"/>
          </w:tcPr>
          <w:p w:rsidR="001360A9" w:rsidRPr="00225405" w:rsidRDefault="001360A9" w:rsidP="001360A9">
            <w:pPr>
              <w:widowControl/>
              <w:adjustRightInd/>
              <w:spacing w:line="240" w:lineRule="auto"/>
              <w:jc w:val="left"/>
              <w:textAlignment w:val="auto"/>
              <w:rPr>
                <w:rFonts w:cs="Arial"/>
                <w:szCs w:val="20"/>
              </w:rPr>
            </w:pPr>
            <w:r w:rsidRPr="00225405">
              <w:rPr>
                <w:rFonts w:cs="Arial"/>
                <w:szCs w:val="20"/>
              </w:rPr>
              <w:t> </w:t>
            </w:r>
          </w:p>
        </w:tc>
        <w:tc>
          <w:tcPr>
            <w:tcW w:w="960" w:type="dxa"/>
            <w:tcBorders>
              <w:top w:val="nil"/>
              <w:left w:val="single" w:sz="4" w:space="0" w:color="auto"/>
              <w:bottom w:val="nil"/>
              <w:right w:val="single" w:sz="4" w:space="0" w:color="auto"/>
            </w:tcBorders>
            <w:shd w:val="clear" w:color="auto" w:fill="FFCC99"/>
            <w:noWrap/>
            <w:vAlign w:val="bottom"/>
          </w:tcPr>
          <w:p w:rsidR="001360A9" w:rsidRPr="00225405" w:rsidRDefault="001360A9" w:rsidP="001360A9">
            <w:pPr>
              <w:widowControl/>
              <w:adjustRightInd/>
              <w:spacing w:line="240" w:lineRule="auto"/>
              <w:jc w:val="left"/>
              <w:textAlignment w:val="auto"/>
              <w:rPr>
                <w:rFonts w:cs="Arial"/>
                <w:szCs w:val="20"/>
              </w:rPr>
            </w:pPr>
            <w:r w:rsidRPr="00225405">
              <w:rPr>
                <w:rFonts w:cs="Arial"/>
                <w:szCs w:val="20"/>
              </w:rPr>
              <w:t> </w:t>
            </w:r>
          </w:p>
        </w:tc>
      </w:tr>
      <w:tr w:rsidR="001360A9" w:rsidRPr="00225405">
        <w:trPr>
          <w:trHeight w:val="255"/>
        </w:trPr>
        <w:tc>
          <w:tcPr>
            <w:tcW w:w="2940" w:type="dxa"/>
            <w:tcBorders>
              <w:top w:val="nil"/>
              <w:left w:val="single" w:sz="4" w:space="0" w:color="auto"/>
              <w:bottom w:val="nil"/>
              <w:right w:val="nil"/>
            </w:tcBorders>
            <w:shd w:val="clear" w:color="auto" w:fill="FFCC99"/>
            <w:noWrap/>
            <w:vAlign w:val="bottom"/>
          </w:tcPr>
          <w:p w:rsidR="001360A9" w:rsidRPr="00225405" w:rsidRDefault="001360A9" w:rsidP="001360A9">
            <w:pPr>
              <w:widowControl/>
              <w:adjustRightInd/>
              <w:spacing w:line="240" w:lineRule="auto"/>
              <w:jc w:val="left"/>
              <w:textAlignment w:val="auto"/>
              <w:rPr>
                <w:rFonts w:cs="Arial"/>
                <w:b/>
                <w:bCs/>
                <w:szCs w:val="20"/>
              </w:rPr>
            </w:pPr>
            <w:r w:rsidRPr="00225405">
              <w:rPr>
                <w:rFonts w:cs="Arial"/>
                <w:b/>
                <w:bCs/>
                <w:szCs w:val="20"/>
              </w:rPr>
              <w:t> </w:t>
            </w:r>
          </w:p>
        </w:tc>
        <w:tc>
          <w:tcPr>
            <w:tcW w:w="5540" w:type="dxa"/>
            <w:tcBorders>
              <w:top w:val="nil"/>
              <w:left w:val="single" w:sz="4" w:space="0" w:color="auto"/>
              <w:bottom w:val="nil"/>
              <w:right w:val="nil"/>
            </w:tcBorders>
            <w:shd w:val="clear" w:color="auto" w:fill="FFCC99"/>
            <w:noWrap/>
            <w:vAlign w:val="bottom"/>
          </w:tcPr>
          <w:p w:rsidR="001360A9" w:rsidRPr="00225405" w:rsidRDefault="001360A9" w:rsidP="001360A9">
            <w:pPr>
              <w:widowControl/>
              <w:adjustRightInd/>
              <w:spacing w:line="240" w:lineRule="auto"/>
              <w:jc w:val="left"/>
              <w:textAlignment w:val="auto"/>
              <w:rPr>
                <w:rFonts w:cs="Arial"/>
                <w:b/>
                <w:bCs/>
                <w:szCs w:val="20"/>
              </w:rPr>
            </w:pPr>
            <w:r w:rsidRPr="00225405">
              <w:rPr>
                <w:rFonts w:cs="Arial"/>
                <w:b/>
                <w:bCs/>
                <w:szCs w:val="20"/>
              </w:rPr>
              <w:t>Roční daň</w:t>
            </w:r>
          </w:p>
        </w:tc>
        <w:tc>
          <w:tcPr>
            <w:tcW w:w="960" w:type="dxa"/>
            <w:tcBorders>
              <w:top w:val="nil"/>
              <w:left w:val="single" w:sz="4" w:space="0" w:color="auto"/>
              <w:bottom w:val="nil"/>
              <w:right w:val="single" w:sz="4" w:space="0" w:color="auto"/>
            </w:tcBorders>
            <w:shd w:val="clear" w:color="auto" w:fill="FFCC99"/>
            <w:noWrap/>
            <w:vAlign w:val="bottom"/>
          </w:tcPr>
          <w:p w:rsidR="001360A9" w:rsidRPr="00225405" w:rsidRDefault="001360A9" w:rsidP="001360A9">
            <w:pPr>
              <w:widowControl/>
              <w:adjustRightInd/>
              <w:spacing w:line="240" w:lineRule="auto"/>
              <w:jc w:val="right"/>
              <w:textAlignment w:val="auto"/>
              <w:rPr>
                <w:rFonts w:cs="Arial"/>
                <w:szCs w:val="20"/>
              </w:rPr>
            </w:pPr>
            <w:r w:rsidRPr="00225405">
              <w:rPr>
                <w:rFonts w:cs="Arial"/>
                <w:szCs w:val="20"/>
              </w:rPr>
              <w:t>21 495</w:t>
            </w:r>
          </w:p>
        </w:tc>
      </w:tr>
      <w:tr w:rsidR="001360A9" w:rsidRPr="00225405">
        <w:trPr>
          <w:trHeight w:val="255"/>
        </w:trPr>
        <w:tc>
          <w:tcPr>
            <w:tcW w:w="2940" w:type="dxa"/>
            <w:tcBorders>
              <w:top w:val="nil"/>
              <w:left w:val="single" w:sz="4" w:space="0" w:color="auto"/>
              <w:bottom w:val="nil"/>
              <w:right w:val="nil"/>
            </w:tcBorders>
            <w:shd w:val="clear" w:color="auto" w:fill="FFCC99"/>
            <w:noWrap/>
            <w:vAlign w:val="bottom"/>
          </w:tcPr>
          <w:p w:rsidR="001360A9" w:rsidRPr="00225405" w:rsidRDefault="001360A9" w:rsidP="001360A9">
            <w:pPr>
              <w:widowControl/>
              <w:adjustRightInd/>
              <w:spacing w:line="240" w:lineRule="auto"/>
              <w:jc w:val="left"/>
              <w:textAlignment w:val="auto"/>
              <w:rPr>
                <w:rFonts w:cs="Arial"/>
                <w:b/>
                <w:bCs/>
                <w:szCs w:val="20"/>
              </w:rPr>
            </w:pPr>
            <w:r w:rsidRPr="00225405">
              <w:rPr>
                <w:rFonts w:cs="Arial"/>
                <w:b/>
                <w:bCs/>
                <w:szCs w:val="20"/>
              </w:rPr>
              <w:t> </w:t>
            </w:r>
          </w:p>
        </w:tc>
        <w:tc>
          <w:tcPr>
            <w:tcW w:w="5540" w:type="dxa"/>
            <w:tcBorders>
              <w:top w:val="nil"/>
              <w:left w:val="single" w:sz="4" w:space="0" w:color="auto"/>
              <w:bottom w:val="nil"/>
              <w:right w:val="nil"/>
            </w:tcBorders>
            <w:shd w:val="clear" w:color="auto" w:fill="FFCC99"/>
            <w:noWrap/>
            <w:vAlign w:val="bottom"/>
          </w:tcPr>
          <w:p w:rsidR="001360A9" w:rsidRPr="00225405" w:rsidRDefault="001360A9" w:rsidP="001360A9">
            <w:pPr>
              <w:widowControl/>
              <w:adjustRightInd/>
              <w:spacing w:line="240" w:lineRule="auto"/>
              <w:jc w:val="left"/>
              <w:textAlignment w:val="auto"/>
              <w:rPr>
                <w:rFonts w:cs="Arial"/>
                <w:b/>
                <w:bCs/>
                <w:color w:val="FF0000"/>
                <w:szCs w:val="20"/>
              </w:rPr>
            </w:pPr>
            <w:r w:rsidRPr="00225405">
              <w:rPr>
                <w:rFonts w:cs="Arial"/>
                <w:b/>
                <w:bCs/>
                <w:color w:val="FF0000"/>
                <w:szCs w:val="20"/>
              </w:rPr>
              <w:t>Minus Sleva na dani dle par. 35ba - slevy na poplatníka</w:t>
            </w:r>
          </w:p>
        </w:tc>
        <w:tc>
          <w:tcPr>
            <w:tcW w:w="960" w:type="dxa"/>
            <w:tcBorders>
              <w:top w:val="nil"/>
              <w:left w:val="single" w:sz="4" w:space="0" w:color="auto"/>
              <w:bottom w:val="nil"/>
              <w:right w:val="single" w:sz="4" w:space="0" w:color="auto"/>
            </w:tcBorders>
            <w:shd w:val="clear" w:color="auto" w:fill="FFCC99"/>
            <w:noWrap/>
            <w:vAlign w:val="bottom"/>
          </w:tcPr>
          <w:p w:rsidR="001360A9" w:rsidRPr="00225405" w:rsidRDefault="001360A9" w:rsidP="001360A9">
            <w:pPr>
              <w:widowControl/>
              <w:adjustRightInd/>
              <w:spacing w:line="240" w:lineRule="auto"/>
              <w:jc w:val="right"/>
              <w:textAlignment w:val="auto"/>
              <w:rPr>
                <w:rFonts w:cs="Arial"/>
                <w:szCs w:val="20"/>
              </w:rPr>
            </w:pPr>
            <w:r w:rsidRPr="00225405">
              <w:rPr>
                <w:rFonts w:cs="Arial"/>
                <w:szCs w:val="20"/>
              </w:rPr>
              <w:t>24 840</w:t>
            </w:r>
          </w:p>
        </w:tc>
      </w:tr>
      <w:tr w:rsidR="001360A9" w:rsidRPr="00225405">
        <w:trPr>
          <w:trHeight w:val="255"/>
        </w:trPr>
        <w:tc>
          <w:tcPr>
            <w:tcW w:w="2940" w:type="dxa"/>
            <w:tcBorders>
              <w:top w:val="nil"/>
              <w:left w:val="single" w:sz="4" w:space="0" w:color="auto"/>
              <w:bottom w:val="nil"/>
              <w:right w:val="nil"/>
            </w:tcBorders>
            <w:shd w:val="clear" w:color="auto" w:fill="FFCC99"/>
            <w:noWrap/>
            <w:vAlign w:val="bottom"/>
          </w:tcPr>
          <w:p w:rsidR="001360A9" w:rsidRPr="00225405" w:rsidRDefault="001360A9" w:rsidP="001360A9">
            <w:pPr>
              <w:widowControl/>
              <w:adjustRightInd/>
              <w:spacing w:line="240" w:lineRule="auto"/>
              <w:jc w:val="left"/>
              <w:textAlignment w:val="auto"/>
              <w:rPr>
                <w:rFonts w:cs="Arial"/>
                <w:b/>
                <w:bCs/>
                <w:szCs w:val="20"/>
              </w:rPr>
            </w:pPr>
            <w:r w:rsidRPr="00225405">
              <w:rPr>
                <w:rFonts w:cs="Arial"/>
                <w:b/>
                <w:bCs/>
                <w:szCs w:val="20"/>
              </w:rPr>
              <w:t>Zúčtování daně po slevě</w:t>
            </w:r>
          </w:p>
        </w:tc>
        <w:tc>
          <w:tcPr>
            <w:tcW w:w="5540" w:type="dxa"/>
            <w:tcBorders>
              <w:top w:val="nil"/>
              <w:left w:val="single" w:sz="4" w:space="0" w:color="auto"/>
              <w:bottom w:val="nil"/>
              <w:right w:val="nil"/>
            </w:tcBorders>
            <w:shd w:val="clear" w:color="auto" w:fill="FFCC99"/>
            <w:noWrap/>
            <w:vAlign w:val="bottom"/>
          </w:tcPr>
          <w:p w:rsidR="001360A9" w:rsidRPr="00225405" w:rsidRDefault="001360A9" w:rsidP="001360A9">
            <w:pPr>
              <w:widowControl/>
              <w:adjustRightInd/>
              <w:spacing w:line="240" w:lineRule="auto"/>
              <w:jc w:val="left"/>
              <w:textAlignment w:val="auto"/>
              <w:rPr>
                <w:rFonts w:cs="Arial"/>
                <w:b/>
                <w:bCs/>
                <w:szCs w:val="20"/>
              </w:rPr>
            </w:pPr>
            <w:r w:rsidRPr="00225405">
              <w:rPr>
                <w:rFonts w:cs="Arial"/>
                <w:b/>
                <w:bCs/>
                <w:szCs w:val="20"/>
              </w:rPr>
              <w:t>Roční daň po slevě podle par. 35ba</w:t>
            </w:r>
          </w:p>
        </w:tc>
        <w:tc>
          <w:tcPr>
            <w:tcW w:w="960" w:type="dxa"/>
            <w:tcBorders>
              <w:top w:val="nil"/>
              <w:left w:val="single" w:sz="4" w:space="0" w:color="auto"/>
              <w:bottom w:val="nil"/>
              <w:right w:val="single" w:sz="4" w:space="0" w:color="auto"/>
            </w:tcBorders>
            <w:shd w:val="clear" w:color="auto" w:fill="FFCC99"/>
            <w:noWrap/>
            <w:vAlign w:val="bottom"/>
          </w:tcPr>
          <w:p w:rsidR="001360A9" w:rsidRPr="00225405" w:rsidRDefault="001360A9" w:rsidP="001360A9">
            <w:pPr>
              <w:widowControl/>
              <w:adjustRightInd/>
              <w:spacing w:line="240" w:lineRule="auto"/>
              <w:jc w:val="right"/>
              <w:textAlignment w:val="auto"/>
              <w:rPr>
                <w:rFonts w:cs="Arial"/>
                <w:b/>
                <w:bCs/>
                <w:szCs w:val="20"/>
              </w:rPr>
            </w:pPr>
            <w:r w:rsidRPr="00225405">
              <w:rPr>
                <w:rFonts w:cs="Arial"/>
                <w:b/>
                <w:bCs/>
                <w:szCs w:val="20"/>
              </w:rPr>
              <w:t>0</w:t>
            </w:r>
          </w:p>
        </w:tc>
      </w:tr>
      <w:tr w:rsidR="001360A9" w:rsidRPr="00225405">
        <w:trPr>
          <w:trHeight w:val="255"/>
        </w:trPr>
        <w:tc>
          <w:tcPr>
            <w:tcW w:w="2940" w:type="dxa"/>
            <w:tcBorders>
              <w:top w:val="nil"/>
              <w:left w:val="single" w:sz="4" w:space="0" w:color="auto"/>
              <w:bottom w:val="nil"/>
              <w:right w:val="nil"/>
            </w:tcBorders>
            <w:shd w:val="clear" w:color="auto" w:fill="FFCC99"/>
            <w:noWrap/>
            <w:vAlign w:val="bottom"/>
          </w:tcPr>
          <w:p w:rsidR="001360A9" w:rsidRPr="00225405" w:rsidRDefault="001360A9" w:rsidP="001360A9">
            <w:pPr>
              <w:widowControl/>
              <w:adjustRightInd/>
              <w:spacing w:line="240" w:lineRule="auto"/>
              <w:jc w:val="left"/>
              <w:textAlignment w:val="auto"/>
              <w:rPr>
                <w:rFonts w:cs="Arial"/>
                <w:b/>
                <w:bCs/>
                <w:szCs w:val="20"/>
              </w:rPr>
            </w:pPr>
            <w:r w:rsidRPr="00225405">
              <w:rPr>
                <w:rFonts w:cs="Arial"/>
                <w:b/>
                <w:bCs/>
                <w:szCs w:val="20"/>
              </w:rPr>
              <w:t> </w:t>
            </w:r>
          </w:p>
        </w:tc>
        <w:tc>
          <w:tcPr>
            <w:tcW w:w="5540" w:type="dxa"/>
            <w:tcBorders>
              <w:top w:val="nil"/>
              <w:left w:val="single" w:sz="4" w:space="0" w:color="auto"/>
              <w:bottom w:val="nil"/>
              <w:right w:val="nil"/>
            </w:tcBorders>
            <w:shd w:val="clear" w:color="auto" w:fill="FFCC99"/>
            <w:noWrap/>
            <w:vAlign w:val="bottom"/>
          </w:tcPr>
          <w:p w:rsidR="001360A9" w:rsidRPr="00225405" w:rsidRDefault="001360A9" w:rsidP="001360A9">
            <w:pPr>
              <w:widowControl/>
              <w:adjustRightInd/>
              <w:spacing w:line="240" w:lineRule="auto"/>
              <w:jc w:val="left"/>
              <w:textAlignment w:val="auto"/>
              <w:rPr>
                <w:rFonts w:cs="Arial"/>
                <w:b/>
                <w:bCs/>
                <w:color w:val="FF0000"/>
                <w:szCs w:val="20"/>
              </w:rPr>
            </w:pPr>
            <w:r w:rsidRPr="00225405">
              <w:rPr>
                <w:rFonts w:cs="Arial"/>
                <w:b/>
                <w:bCs/>
                <w:color w:val="FF0000"/>
                <w:szCs w:val="20"/>
              </w:rPr>
              <w:t>Minus Sleva na dani dle par. 35c - daňové zvýhodnění</w:t>
            </w:r>
          </w:p>
        </w:tc>
        <w:tc>
          <w:tcPr>
            <w:tcW w:w="960" w:type="dxa"/>
            <w:tcBorders>
              <w:top w:val="nil"/>
              <w:left w:val="single" w:sz="4" w:space="0" w:color="auto"/>
              <w:bottom w:val="nil"/>
              <w:right w:val="single" w:sz="4" w:space="0" w:color="auto"/>
            </w:tcBorders>
            <w:shd w:val="clear" w:color="auto" w:fill="FFCC99"/>
            <w:noWrap/>
            <w:vAlign w:val="bottom"/>
          </w:tcPr>
          <w:p w:rsidR="001360A9" w:rsidRPr="00225405" w:rsidRDefault="001360A9" w:rsidP="001360A9">
            <w:pPr>
              <w:widowControl/>
              <w:adjustRightInd/>
              <w:spacing w:line="240" w:lineRule="auto"/>
              <w:jc w:val="right"/>
              <w:textAlignment w:val="auto"/>
              <w:rPr>
                <w:rFonts w:cs="Arial"/>
                <w:szCs w:val="20"/>
              </w:rPr>
            </w:pPr>
            <w:r w:rsidRPr="00225405">
              <w:rPr>
                <w:rFonts w:cs="Arial"/>
                <w:szCs w:val="20"/>
              </w:rPr>
              <w:t>0</w:t>
            </w:r>
          </w:p>
        </w:tc>
      </w:tr>
      <w:tr w:rsidR="001360A9" w:rsidRPr="00225405">
        <w:trPr>
          <w:trHeight w:val="255"/>
        </w:trPr>
        <w:tc>
          <w:tcPr>
            <w:tcW w:w="2940" w:type="dxa"/>
            <w:tcBorders>
              <w:top w:val="nil"/>
              <w:left w:val="single" w:sz="4" w:space="0" w:color="auto"/>
              <w:bottom w:val="nil"/>
              <w:right w:val="nil"/>
            </w:tcBorders>
            <w:shd w:val="clear" w:color="auto" w:fill="FFCC99"/>
            <w:noWrap/>
            <w:vAlign w:val="bottom"/>
          </w:tcPr>
          <w:p w:rsidR="001360A9" w:rsidRPr="00225405" w:rsidRDefault="001360A9" w:rsidP="001360A9">
            <w:pPr>
              <w:widowControl/>
              <w:adjustRightInd/>
              <w:spacing w:line="240" w:lineRule="auto"/>
              <w:jc w:val="left"/>
              <w:textAlignment w:val="auto"/>
              <w:rPr>
                <w:rFonts w:cs="Arial"/>
                <w:b/>
                <w:bCs/>
                <w:szCs w:val="20"/>
              </w:rPr>
            </w:pPr>
            <w:r w:rsidRPr="00225405">
              <w:rPr>
                <w:rFonts w:cs="Arial"/>
                <w:b/>
                <w:bCs/>
                <w:szCs w:val="20"/>
              </w:rPr>
              <w:t> </w:t>
            </w:r>
          </w:p>
        </w:tc>
        <w:tc>
          <w:tcPr>
            <w:tcW w:w="5540" w:type="dxa"/>
            <w:tcBorders>
              <w:top w:val="nil"/>
              <w:left w:val="single" w:sz="4" w:space="0" w:color="auto"/>
              <w:bottom w:val="nil"/>
              <w:right w:val="nil"/>
            </w:tcBorders>
            <w:shd w:val="clear" w:color="auto" w:fill="FFCC99"/>
            <w:noWrap/>
            <w:vAlign w:val="bottom"/>
          </w:tcPr>
          <w:p w:rsidR="001360A9" w:rsidRPr="00225405" w:rsidRDefault="001360A9" w:rsidP="001360A9">
            <w:pPr>
              <w:widowControl/>
              <w:adjustRightInd/>
              <w:spacing w:line="240" w:lineRule="auto"/>
              <w:jc w:val="left"/>
              <w:textAlignment w:val="auto"/>
              <w:rPr>
                <w:rFonts w:cs="Arial"/>
                <w:b/>
                <w:bCs/>
                <w:szCs w:val="20"/>
              </w:rPr>
            </w:pPr>
            <w:r w:rsidRPr="00225405">
              <w:rPr>
                <w:rFonts w:cs="Arial"/>
                <w:b/>
                <w:bCs/>
                <w:szCs w:val="20"/>
              </w:rPr>
              <w:t>Ročn</w:t>
            </w:r>
            <w:r w:rsidR="005342CD">
              <w:rPr>
                <w:rFonts w:cs="Arial"/>
                <w:b/>
                <w:bCs/>
                <w:szCs w:val="20"/>
              </w:rPr>
              <w:t>í</w:t>
            </w:r>
            <w:r w:rsidRPr="00225405">
              <w:rPr>
                <w:rFonts w:cs="Arial"/>
                <w:b/>
                <w:bCs/>
                <w:szCs w:val="20"/>
              </w:rPr>
              <w:t xml:space="preserve"> daň po slevě podle par. 35ba a 35c</w:t>
            </w:r>
          </w:p>
        </w:tc>
        <w:tc>
          <w:tcPr>
            <w:tcW w:w="960" w:type="dxa"/>
            <w:tcBorders>
              <w:top w:val="nil"/>
              <w:left w:val="single" w:sz="4" w:space="0" w:color="auto"/>
              <w:bottom w:val="nil"/>
              <w:right w:val="single" w:sz="4" w:space="0" w:color="auto"/>
            </w:tcBorders>
            <w:shd w:val="clear" w:color="auto" w:fill="FFCC99"/>
            <w:noWrap/>
            <w:vAlign w:val="bottom"/>
          </w:tcPr>
          <w:p w:rsidR="001360A9" w:rsidRPr="00225405" w:rsidRDefault="001360A9" w:rsidP="001360A9">
            <w:pPr>
              <w:widowControl/>
              <w:adjustRightInd/>
              <w:spacing w:line="240" w:lineRule="auto"/>
              <w:jc w:val="right"/>
              <w:textAlignment w:val="auto"/>
              <w:rPr>
                <w:rFonts w:cs="Arial"/>
                <w:szCs w:val="20"/>
              </w:rPr>
            </w:pPr>
            <w:r w:rsidRPr="00225405">
              <w:rPr>
                <w:rFonts w:cs="Arial"/>
                <w:szCs w:val="20"/>
              </w:rPr>
              <w:t>0</w:t>
            </w:r>
          </w:p>
        </w:tc>
      </w:tr>
      <w:tr w:rsidR="001360A9" w:rsidRPr="00225405">
        <w:trPr>
          <w:trHeight w:val="255"/>
        </w:trPr>
        <w:tc>
          <w:tcPr>
            <w:tcW w:w="2940" w:type="dxa"/>
            <w:tcBorders>
              <w:top w:val="nil"/>
              <w:left w:val="single" w:sz="4" w:space="0" w:color="auto"/>
              <w:bottom w:val="nil"/>
              <w:right w:val="nil"/>
            </w:tcBorders>
            <w:shd w:val="clear" w:color="auto" w:fill="FFCC99"/>
            <w:noWrap/>
            <w:vAlign w:val="bottom"/>
          </w:tcPr>
          <w:p w:rsidR="001360A9" w:rsidRPr="00225405" w:rsidRDefault="001360A9" w:rsidP="001360A9">
            <w:pPr>
              <w:widowControl/>
              <w:adjustRightInd/>
              <w:spacing w:line="240" w:lineRule="auto"/>
              <w:jc w:val="left"/>
              <w:textAlignment w:val="auto"/>
              <w:rPr>
                <w:rFonts w:cs="Arial"/>
                <w:b/>
                <w:bCs/>
                <w:szCs w:val="20"/>
              </w:rPr>
            </w:pPr>
            <w:r w:rsidRPr="00225405">
              <w:rPr>
                <w:rFonts w:cs="Arial"/>
                <w:b/>
                <w:bCs/>
                <w:szCs w:val="20"/>
              </w:rPr>
              <w:t> </w:t>
            </w:r>
          </w:p>
        </w:tc>
        <w:tc>
          <w:tcPr>
            <w:tcW w:w="5540" w:type="dxa"/>
            <w:tcBorders>
              <w:top w:val="nil"/>
              <w:left w:val="single" w:sz="4" w:space="0" w:color="auto"/>
              <w:bottom w:val="nil"/>
              <w:right w:val="nil"/>
            </w:tcBorders>
            <w:shd w:val="clear" w:color="auto" w:fill="FFCC99"/>
            <w:noWrap/>
            <w:vAlign w:val="bottom"/>
          </w:tcPr>
          <w:p w:rsidR="001360A9" w:rsidRPr="00225405" w:rsidRDefault="001360A9" w:rsidP="001360A9">
            <w:pPr>
              <w:widowControl/>
              <w:adjustRightInd/>
              <w:spacing w:line="240" w:lineRule="auto"/>
              <w:jc w:val="left"/>
              <w:textAlignment w:val="auto"/>
              <w:rPr>
                <w:rFonts w:cs="Arial"/>
                <w:b/>
                <w:bCs/>
                <w:szCs w:val="20"/>
              </w:rPr>
            </w:pPr>
            <w:r w:rsidRPr="00225405">
              <w:rPr>
                <w:rFonts w:cs="Arial"/>
                <w:b/>
                <w:bCs/>
                <w:szCs w:val="20"/>
              </w:rPr>
              <w:t>Zaplacené zálohy</w:t>
            </w:r>
          </w:p>
        </w:tc>
        <w:tc>
          <w:tcPr>
            <w:tcW w:w="960" w:type="dxa"/>
            <w:tcBorders>
              <w:top w:val="nil"/>
              <w:left w:val="single" w:sz="4" w:space="0" w:color="auto"/>
              <w:bottom w:val="nil"/>
              <w:right w:val="single" w:sz="4" w:space="0" w:color="auto"/>
            </w:tcBorders>
            <w:shd w:val="clear" w:color="auto" w:fill="FFCC99"/>
            <w:noWrap/>
            <w:vAlign w:val="bottom"/>
          </w:tcPr>
          <w:p w:rsidR="001360A9" w:rsidRPr="00225405" w:rsidRDefault="001360A9" w:rsidP="001360A9">
            <w:pPr>
              <w:widowControl/>
              <w:adjustRightInd/>
              <w:spacing w:line="240" w:lineRule="auto"/>
              <w:jc w:val="right"/>
              <w:textAlignment w:val="auto"/>
              <w:rPr>
                <w:rFonts w:cs="Arial"/>
                <w:szCs w:val="20"/>
              </w:rPr>
            </w:pPr>
            <w:r w:rsidRPr="00225405">
              <w:rPr>
                <w:rFonts w:cs="Arial"/>
                <w:szCs w:val="20"/>
              </w:rPr>
              <w:t>220</w:t>
            </w:r>
          </w:p>
        </w:tc>
      </w:tr>
      <w:tr w:rsidR="001360A9" w:rsidRPr="00225405">
        <w:trPr>
          <w:trHeight w:val="255"/>
        </w:trPr>
        <w:tc>
          <w:tcPr>
            <w:tcW w:w="2940" w:type="dxa"/>
            <w:tcBorders>
              <w:top w:val="nil"/>
              <w:left w:val="single" w:sz="4" w:space="0" w:color="auto"/>
              <w:bottom w:val="single" w:sz="4" w:space="0" w:color="auto"/>
              <w:right w:val="nil"/>
            </w:tcBorders>
            <w:shd w:val="clear" w:color="auto" w:fill="FFCC99"/>
            <w:noWrap/>
            <w:vAlign w:val="bottom"/>
          </w:tcPr>
          <w:p w:rsidR="001360A9" w:rsidRPr="00225405" w:rsidRDefault="001360A9" w:rsidP="001360A9">
            <w:pPr>
              <w:widowControl/>
              <w:adjustRightInd/>
              <w:spacing w:line="240" w:lineRule="auto"/>
              <w:jc w:val="left"/>
              <w:textAlignment w:val="auto"/>
              <w:rPr>
                <w:rFonts w:cs="Arial"/>
                <w:b/>
                <w:bCs/>
                <w:szCs w:val="20"/>
              </w:rPr>
            </w:pPr>
            <w:r w:rsidRPr="00225405">
              <w:rPr>
                <w:rFonts w:cs="Arial"/>
                <w:b/>
                <w:bCs/>
                <w:szCs w:val="20"/>
              </w:rPr>
              <w:t> </w:t>
            </w:r>
          </w:p>
        </w:tc>
        <w:tc>
          <w:tcPr>
            <w:tcW w:w="5540" w:type="dxa"/>
            <w:tcBorders>
              <w:top w:val="nil"/>
              <w:left w:val="single" w:sz="4" w:space="0" w:color="auto"/>
              <w:bottom w:val="single" w:sz="4" w:space="0" w:color="auto"/>
              <w:right w:val="single" w:sz="4" w:space="0" w:color="auto"/>
            </w:tcBorders>
            <w:shd w:val="clear" w:color="auto" w:fill="FFCC99"/>
            <w:noWrap/>
            <w:vAlign w:val="bottom"/>
          </w:tcPr>
          <w:p w:rsidR="001360A9" w:rsidRPr="00225405" w:rsidRDefault="001360A9" w:rsidP="001360A9">
            <w:pPr>
              <w:widowControl/>
              <w:adjustRightInd/>
              <w:spacing w:line="240" w:lineRule="auto"/>
              <w:jc w:val="left"/>
              <w:textAlignment w:val="auto"/>
              <w:rPr>
                <w:rFonts w:cs="Arial"/>
                <w:b/>
                <w:bCs/>
                <w:szCs w:val="20"/>
              </w:rPr>
            </w:pPr>
            <w:r w:rsidRPr="00225405">
              <w:rPr>
                <w:rFonts w:cs="Arial"/>
                <w:b/>
                <w:bCs/>
                <w:szCs w:val="20"/>
              </w:rPr>
              <w:t>Rozdíl na zúčtování záloh</w:t>
            </w:r>
          </w:p>
        </w:tc>
        <w:tc>
          <w:tcPr>
            <w:tcW w:w="960" w:type="dxa"/>
            <w:tcBorders>
              <w:top w:val="nil"/>
              <w:left w:val="nil"/>
              <w:bottom w:val="single" w:sz="4" w:space="0" w:color="auto"/>
              <w:right w:val="single" w:sz="4" w:space="0" w:color="auto"/>
            </w:tcBorders>
            <w:shd w:val="clear" w:color="auto" w:fill="FFCC99"/>
            <w:noWrap/>
            <w:vAlign w:val="bottom"/>
          </w:tcPr>
          <w:p w:rsidR="001360A9" w:rsidRPr="00225405" w:rsidRDefault="001360A9" w:rsidP="001360A9">
            <w:pPr>
              <w:widowControl/>
              <w:adjustRightInd/>
              <w:spacing w:line="240" w:lineRule="auto"/>
              <w:jc w:val="right"/>
              <w:textAlignment w:val="auto"/>
              <w:rPr>
                <w:rFonts w:cs="Arial"/>
                <w:szCs w:val="20"/>
              </w:rPr>
            </w:pPr>
            <w:r w:rsidRPr="00225405">
              <w:rPr>
                <w:rFonts w:cs="Arial"/>
                <w:szCs w:val="20"/>
              </w:rPr>
              <w:t>220</w:t>
            </w:r>
          </w:p>
        </w:tc>
      </w:tr>
      <w:tr w:rsidR="001360A9" w:rsidRPr="00225405">
        <w:trPr>
          <w:trHeight w:val="255"/>
        </w:trPr>
        <w:tc>
          <w:tcPr>
            <w:tcW w:w="2940" w:type="dxa"/>
            <w:tcBorders>
              <w:top w:val="nil"/>
              <w:left w:val="single" w:sz="4" w:space="0" w:color="auto"/>
              <w:bottom w:val="nil"/>
              <w:right w:val="nil"/>
            </w:tcBorders>
            <w:shd w:val="clear" w:color="auto" w:fill="FFFF00"/>
            <w:noWrap/>
            <w:vAlign w:val="bottom"/>
          </w:tcPr>
          <w:p w:rsidR="001360A9" w:rsidRPr="00225405" w:rsidRDefault="001360A9" w:rsidP="001360A9">
            <w:pPr>
              <w:widowControl/>
              <w:adjustRightInd/>
              <w:spacing w:line="240" w:lineRule="auto"/>
              <w:jc w:val="left"/>
              <w:textAlignment w:val="auto"/>
              <w:rPr>
                <w:rFonts w:cs="Arial"/>
                <w:szCs w:val="20"/>
              </w:rPr>
            </w:pPr>
            <w:r w:rsidRPr="00225405">
              <w:rPr>
                <w:rFonts w:cs="Arial"/>
                <w:szCs w:val="20"/>
              </w:rPr>
              <w:t> </w:t>
            </w:r>
          </w:p>
        </w:tc>
        <w:tc>
          <w:tcPr>
            <w:tcW w:w="5540" w:type="dxa"/>
            <w:tcBorders>
              <w:top w:val="nil"/>
              <w:left w:val="single" w:sz="4" w:space="0" w:color="auto"/>
              <w:bottom w:val="nil"/>
              <w:right w:val="nil"/>
            </w:tcBorders>
            <w:shd w:val="clear" w:color="auto" w:fill="FFFF00"/>
            <w:noWrap/>
            <w:vAlign w:val="bottom"/>
          </w:tcPr>
          <w:p w:rsidR="001360A9" w:rsidRPr="00225405" w:rsidRDefault="001360A9" w:rsidP="001360A9">
            <w:pPr>
              <w:widowControl/>
              <w:adjustRightInd/>
              <w:spacing w:line="240" w:lineRule="auto"/>
              <w:jc w:val="left"/>
              <w:textAlignment w:val="auto"/>
              <w:rPr>
                <w:rFonts w:cs="Arial"/>
                <w:szCs w:val="20"/>
              </w:rPr>
            </w:pPr>
            <w:r w:rsidRPr="00225405">
              <w:rPr>
                <w:rFonts w:cs="Arial"/>
                <w:szCs w:val="20"/>
              </w:rPr>
              <w:t> </w:t>
            </w:r>
          </w:p>
        </w:tc>
        <w:tc>
          <w:tcPr>
            <w:tcW w:w="960" w:type="dxa"/>
            <w:tcBorders>
              <w:top w:val="nil"/>
              <w:left w:val="single" w:sz="4" w:space="0" w:color="auto"/>
              <w:bottom w:val="nil"/>
              <w:right w:val="single" w:sz="4" w:space="0" w:color="auto"/>
            </w:tcBorders>
            <w:shd w:val="clear" w:color="auto" w:fill="FFFF00"/>
            <w:noWrap/>
            <w:vAlign w:val="bottom"/>
          </w:tcPr>
          <w:p w:rsidR="001360A9" w:rsidRPr="00225405" w:rsidRDefault="001360A9" w:rsidP="001360A9">
            <w:pPr>
              <w:widowControl/>
              <w:adjustRightInd/>
              <w:spacing w:line="240" w:lineRule="auto"/>
              <w:jc w:val="left"/>
              <w:textAlignment w:val="auto"/>
              <w:rPr>
                <w:rFonts w:cs="Arial"/>
                <w:szCs w:val="20"/>
              </w:rPr>
            </w:pPr>
            <w:r w:rsidRPr="00225405">
              <w:rPr>
                <w:rFonts w:cs="Arial"/>
                <w:szCs w:val="20"/>
              </w:rPr>
              <w:t> </w:t>
            </w:r>
          </w:p>
        </w:tc>
      </w:tr>
      <w:tr w:rsidR="001360A9" w:rsidRPr="00225405">
        <w:trPr>
          <w:trHeight w:val="255"/>
        </w:trPr>
        <w:tc>
          <w:tcPr>
            <w:tcW w:w="2940" w:type="dxa"/>
            <w:tcBorders>
              <w:top w:val="nil"/>
              <w:left w:val="single" w:sz="4" w:space="0" w:color="auto"/>
              <w:bottom w:val="nil"/>
              <w:right w:val="nil"/>
            </w:tcBorders>
            <w:shd w:val="clear" w:color="auto" w:fill="FFFF00"/>
            <w:noWrap/>
            <w:vAlign w:val="bottom"/>
          </w:tcPr>
          <w:p w:rsidR="001360A9" w:rsidRPr="00225405" w:rsidRDefault="001360A9" w:rsidP="001360A9">
            <w:pPr>
              <w:widowControl/>
              <w:adjustRightInd/>
              <w:spacing w:line="240" w:lineRule="auto"/>
              <w:jc w:val="left"/>
              <w:textAlignment w:val="auto"/>
              <w:rPr>
                <w:rFonts w:cs="Arial"/>
                <w:b/>
                <w:bCs/>
                <w:szCs w:val="20"/>
              </w:rPr>
            </w:pPr>
            <w:r w:rsidRPr="00225405">
              <w:rPr>
                <w:rFonts w:cs="Arial"/>
                <w:b/>
                <w:bCs/>
                <w:szCs w:val="20"/>
              </w:rPr>
              <w:t> </w:t>
            </w:r>
          </w:p>
        </w:tc>
        <w:tc>
          <w:tcPr>
            <w:tcW w:w="5540" w:type="dxa"/>
            <w:tcBorders>
              <w:top w:val="nil"/>
              <w:left w:val="single" w:sz="4" w:space="0" w:color="auto"/>
              <w:bottom w:val="nil"/>
              <w:right w:val="nil"/>
            </w:tcBorders>
            <w:shd w:val="clear" w:color="auto" w:fill="FFFF00"/>
            <w:noWrap/>
            <w:vAlign w:val="bottom"/>
          </w:tcPr>
          <w:p w:rsidR="001360A9" w:rsidRPr="00225405" w:rsidRDefault="001360A9" w:rsidP="001360A9">
            <w:pPr>
              <w:widowControl/>
              <w:adjustRightInd/>
              <w:spacing w:line="240" w:lineRule="auto"/>
              <w:jc w:val="left"/>
              <w:textAlignment w:val="auto"/>
              <w:rPr>
                <w:rFonts w:cs="Arial"/>
                <w:b/>
                <w:bCs/>
                <w:szCs w:val="20"/>
              </w:rPr>
            </w:pPr>
            <w:r w:rsidRPr="00225405">
              <w:rPr>
                <w:rFonts w:cs="Arial"/>
                <w:b/>
                <w:bCs/>
                <w:szCs w:val="20"/>
              </w:rPr>
              <w:t>Nárok na daňové zvýhodnění</w:t>
            </w:r>
          </w:p>
        </w:tc>
        <w:tc>
          <w:tcPr>
            <w:tcW w:w="960" w:type="dxa"/>
            <w:tcBorders>
              <w:top w:val="nil"/>
              <w:left w:val="single" w:sz="4" w:space="0" w:color="auto"/>
              <w:bottom w:val="nil"/>
              <w:right w:val="single" w:sz="4" w:space="0" w:color="auto"/>
            </w:tcBorders>
            <w:shd w:val="clear" w:color="auto" w:fill="FFFF00"/>
            <w:noWrap/>
            <w:vAlign w:val="bottom"/>
          </w:tcPr>
          <w:p w:rsidR="001360A9" w:rsidRPr="00225405" w:rsidRDefault="001360A9" w:rsidP="001360A9">
            <w:pPr>
              <w:widowControl/>
              <w:adjustRightInd/>
              <w:spacing w:line="240" w:lineRule="auto"/>
              <w:jc w:val="right"/>
              <w:textAlignment w:val="auto"/>
              <w:rPr>
                <w:rFonts w:cs="Arial"/>
                <w:szCs w:val="20"/>
              </w:rPr>
            </w:pPr>
            <w:r w:rsidRPr="00225405">
              <w:rPr>
                <w:rFonts w:cs="Arial"/>
                <w:szCs w:val="20"/>
              </w:rPr>
              <w:t>10 680</w:t>
            </w:r>
          </w:p>
        </w:tc>
      </w:tr>
      <w:tr w:rsidR="001360A9" w:rsidRPr="00225405">
        <w:trPr>
          <w:trHeight w:val="255"/>
        </w:trPr>
        <w:tc>
          <w:tcPr>
            <w:tcW w:w="2940" w:type="dxa"/>
            <w:tcBorders>
              <w:top w:val="nil"/>
              <w:left w:val="single" w:sz="4" w:space="0" w:color="auto"/>
              <w:bottom w:val="nil"/>
              <w:right w:val="nil"/>
            </w:tcBorders>
            <w:shd w:val="clear" w:color="auto" w:fill="FFFF00"/>
            <w:noWrap/>
            <w:vAlign w:val="bottom"/>
          </w:tcPr>
          <w:p w:rsidR="001360A9" w:rsidRPr="00225405" w:rsidRDefault="001360A9" w:rsidP="001360A9">
            <w:pPr>
              <w:widowControl/>
              <w:adjustRightInd/>
              <w:spacing w:line="240" w:lineRule="auto"/>
              <w:jc w:val="left"/>
              <w:textAlignment w:val="auto"/>
              <w:rPr>
                <w:rFonts w:cs="Arial"/>
                <w:b/>
                <w:bCs/>
                <w:szCs w:val="20"/>
              </w:rPr>
            </w:pPr>
            <w:r w:rsidRPr="00225405">
              <w:rPr>
                <w:rFonts w:cs="Arial"/>
                <w:b/>
                <w:bCs/>
                <w:szCs w:val="20"/>
              </w:rPr>
              <w:t>Nárok na slevu a bonus</w:t>
            </w:r>
          </w:p>
        </w:tc>
        <w:tc>
          <w:tcPr>
            <w:tcW w:w="5540" w:type="dxa"/>
            <w:tcBorders>
              <w:top w:val="nil"/>
              <w:left w:val="single" w:sz="4" w:space="0" w:color="auto"/>
              <w:bottom w:val="nil"/>
              <w:right w:val="nil"/>
            </w:tcBorders>
            <w:shd w:val="clear" w:color="auto" w:fill="FFFF00"/>
            <w:noWrap/>
            <w:vAlign w:val="bottom"/>
          </w:tcPr>
          <w:p w:rsidR="001360A9" w:rsidRPr="00225405" w:rsidRDefault="001360A9" w:rsidP="001360A9">
            <w:pPr>
              <w:widowControl/>
              <w:adjustRightInd/>
              <w:spacing w:line="240" w:lineRule="auto"/>
              <w:jc w:val="left"/>
              <w:textAlignment w:val="auto"/>
              <w:rPr>
                <w:rFonts w:cs="Arial"/>
                <w:b/>
                <w:bCs/>
                <w:szCs w:val="20"/>
              </w:rPr>
            </w:pPr>
            <w:r w:rsidRPr="00225405">
              <w:rPr>
                <w:rFonts w:cs="Arial"/>
                <w:b/>
                <w:bCs/>
                <w:szCs w:val="20"/>
              </w:rPr>
              <w:t>z toho:</w:t>
            </w:r>
          </w:p>
        </w:tc>
        <w:tc>
          <w:tcPr>
            <w:tcW w:w="960" w:type="dxa"/>
            <w:tcBorders>
              <w:top w:val="nil"/>
              <w:left w:val="single" w:sz="4" w:space="0" w:color="auto"/>
              <w:bottom w:val="nil"/>
              <w:right w:val="single" w:sz="4" w:space="0" w:color="auto"/>
            </w:tcBorders>
            <w:shd w:val="clear" w:color="auto" w:fill="FFFF00"/>
            <w:noWrap/>
            <w:vAlign w:val="bottom"/>
          </w:tcPr>
          <w:p w:rsidR="001360A9" w:rsidRPr="00225405" w:rsidRDefault="001360A9" w:rsidP="001360A9">
            <w:pPr>
              <w:widowControl/>
              <w:adjustRightInd/>
              <w:spacing w:line="240" w:lineRule="auto"/>
              <w:jc w:val="left"/>
              <w:textAlignment w:val="auto"/>
              <w:rPr>
                <w:rFonts w:cs="Arial"/>
                <w:szCs w:val="20"/>
              </w:rPr>
            </w:pPr>
            <w:r w:rsidRPr="00225405">
              <w:rPr>
                <w:rFonts w:cs="Arial"/>
                <w:szCs w:val="20"/>
              </w:rPr>
              <w:t> </w:t>
            </w:r>
          </w:p>
        </w:tc>
      </w:tr>
      <w:tr w:rsidR="001360A9" w:rsidRPr="00225405">
        <w:trPr>
          <w:trHeight w:val="255"/>
        </w:trPr>
        <w:tc>
          <w:tcPr>
            <w:tcW w:w="2940" w:type="dxa"/>
            <w:tcBorders>
              <w:top w:val="nil"/>
              <w:left w:val="single" w:sz="4" w:space="0" w:color="auto"/>
              <w:bottom w:val="nil"/>
              <w:right w:val="nil"/>
            </w:tcBorders>
            <w:shd w:val="clear" w:color="auto" w:fill="FFFF00"/>
            <w:noWrap/>
            <w:vAlign w:val="bottom"/>
          </w:tcPr>
          <w:p w:rsidR="001360A9" w:rsidRPr="00225405" w:rsidRDefault="001360A9" w:rsidP="001360A9">
            <w:pPr>
              <w:widowControl/>
              <w:adjustRightInd/>
              <w:spacing w:line="240" w:lineRule="auto"/>
              <w:jc w:val="left"/>
              <w:textAlignment w:val="auto"/>
              <w:rPr>
                <w:rFonts w:cs="Arial"/>
                <w:b/>
                <w:bCs/>
                <w:szCs w:val="20"/>
              </w:rPr>
            </w:pPr>
            <w:r w:rsidRPr="00225405">
              <w:rPr>
                <w:rFonts w:cs="Arial"/>
                <w:b/>
                <w:bCs/>
                <w:szCs w:val="20"/>
              </w:rPr>
              <w:t> </w:t>
            </w:r>
          </w:p>
        </w:tc>
        <w:tc>
          <w:tcPr>
            <w:tcW w:w="5540" w:type="dxa"/>
            <w:tcBorders>
              <w:top w:val="nil"/>
              <w:left w:val="single" w:sz="4" w:space="0" w:color="auto"/>
              <w:bottom w:val="nil"/>
              <w:right w:val="nil"/>
            </w:tcBorders>
            <w:shd w:val="clear" w:color="auto" w:fill="FFFF00"/>
            <w:noWrap/>
            <w:vAlign w:val="bottom"/>
          </w:tcPr>
          <w:p w:rsidR="001360A9" w:rsidRPr="00225405" w:rsidRDefault="001360A9" w:rsidP="001360A9">
            <w:pPr>
              <w:widowControl/>
              <w:adjustRightInd/>
              <w:spacing w:line="240" w:lineRule="auto"/>
              <w:jc w:val="left"/>
              <w:textAlignment w:val="auto"/>
              <w:rPr>
                <w:rFonts w:cs="Arial"/>
                <w:b/>
                <w:bCs/>
                <w:szCs w:val="20"/>
              </w:rPr>
            </w:pPr>
            <w:r w:rsidRPr="00225405">
              <w:rPr>
                <w:rFonts w:cs="Arial"/>
                <w:b/>
                <w:bCs/>
                <w:szCs w:val="20"/>
              </w:rPr>
              <w:t>sleva na dani</w:t>
            </w:r>
          </w:p>
        </w:tc>
        <w:tc>
          <w:tcPr>
            <w:tcW w:w="960" w:type="dxa"/>
            <w:tcBorders>
              <w:top w:val="nil"/>
              <w:left w:val="single" w:sz="4" w:space="0" w:color="auto"/>
              <w:bottom w:val="nil"/>
              <w:right w:val="single" w:sz="4" w:space="0" w:color="auto"/>
            </w:tcBorders>
            <w:shd w:val="clear" w:color="auto" w:fill="FFFF00"/>
            <w:noWrap/>
            <w:vAlign w:val="bottom"/>
          </w:tcPr>
          <w:p w:rsidR="001360A9" w:rsidRPr="00225405" w:rsidRDefault="001360A9" w:rsidP="001360A9">
            <w:pPr>
              <w:widowControl/>
              <w:adjustRightInd/>
              <w:spacing w:line="240" w:lineRule="auto"/>
              <w:jc w:val="right"/>
              <w:textAlignment w:val="auto"/>
              <w:rPr>
                <w:rFonts w:cs="Arial"/>
                <w:szCs w:val="20"/>
              </w:rPr>
            </w:pPr>
            <w:r w:rsidRPr="00225405">
              <w:rPr>
                <w:rFonts w:cs="Arial"/>
                <w:szCs w:val="20"/>
              </w:rPr>
              <w:t>0</w:t>
            </w:r>
          </w:p>
        </w:tc>
      </w:tr>
      <w:tr w:rsidR="001360A9" w:rsidRPr="00225405">
        <w:trPr>
          <w:trHeight w:val="255"/>
        </w:trPr>
        <w:tc>
          <w:tcPr>
            <w:tcW w:w="2940" w:type="dxa"/>
            <w:tcBorders>
              <w:top w:val="nil"/>
              <w:left w:val="single" w:sz="4" w:space="0" w:color="auto"/>
              <w:bottom w:val="single" w:sz="4" w:space="0" w:color="auto"/>
              <w:right w:val="nil"/>
            </w:tcBorders>
            <w:shd w:val="clear" w:color="auto" w:fill="FFFF00"/>
            <w:noWrap/>
            <w:vAlign w:val="bottom"/>
          </w:tcPr>
          <w:p w:rsidR="001360A9" w:rsidRPr="00225405" w:rsidRDefault="001360A9" w:rsidP="001360A9">
            <w:pPr>
              <w:widowControl/>
              <w:adjustRightInd/>
              <w:spacing w:line="240" w:lineRule="auto"/>
              <w:jc w:val="left"/>
              <w:textAlignment w:val="auto"/>
              <w:rPr>
                <w:rFonts w:cs="Arial"/>
                <w:b/>
                <w:bCs/>
                <w:szCs w:val="20"/>
              </w:rPr>
            </w:pPr>
            <w:r w:rsidRPr="00225405">
              <w:rPr>
                <w:rFonts w:cs="Arial"/>
                <w:b/>
                <w:bCs/>
                <w:szCs w:val="20"/>
              </w:rPr>
              <w:t> </w:t>
            </w:r>
          </w:p>
        </w:tc>
        <w:tc>
          <w:tcPr>
            <w:tcW w:w="5540" w:type="dxa"/>
            <w:tcBorders>
              <w:top w:val="nil"/>
              <w:left w:val="single" w:sz="4" w:space="0" w:color="auto"/>
              <w:bottom w:val="single" w:sz="4" w:space="0" w:color="auto"/>
              <w:right w:val="nil"/>
            </w:tcBorders>
            <w:shd w:val="clear" w:color="auto" w:fill="FFFF00"/>
            <w:noWrap/>
            <w:vAlign w:val="bottom"/>
          </w:tcPr>
          <w:p w:rsidR="001360A9" w:rsidRPr="00225405" w:rsidRDefault="001360A9" w:rsidP="001360A9">
            <w:pPr>
              <w:widowControl/>
              <w:adjustRightInd/>
              <w:spacing w:line="240" w:lineRule="auto"/>
              <w:jc w:val="left"/>
              <w:textAlignment w:val="auto"/>
              <w:rPr>
                <w:rFonts w:cs="Arial"/>
                <w:b/>
                <w:bCs/>
                <w:szCs w:val="20"/>
              </w:rPr>
            </w:pPr>
            <w:r w:rsidRPr="00225405">
              <w:rPr>
                <w:rFonts w:cs="Arial"/>
                <w:b/>
                <w:bCs/>
                <w:szCs w:val="20"/>
              </w:rPr>
              <w:t>daňový bonus</w:t>
            </w:r>
          </w:p>
        </w:tc>
        <w:tc>
          <w:tcPr>
            <w:tcW w:w="960" w:type="dxa"/>
            <w:tcBorders>
              <w:top w:val="nil"/>
              <w:left w:val="single" w:sz="4" w:space="0" w:color="auto"/>
              <w:bottom w:val="single" w:sz="4" w:space="0" w:color="auto"/>
              <w:right w:val="single" w:sz="4" w:space="0" w:color="auto"/>
            </w:tcBorders>
            <w:shd w:val="clear" w:color="auto" w:fill="FFFF00"/>
            <w:noWrap/>
            <w:vAlign w:val="bottom"/>
          </w:tcPr>
          <w:p w:rsidR="001360A9" w:rsidRPr="00225405" w:rsidRDefault="001360A9" w:rsidP="001360A9">
            <w:pPr>
              <w:widowControl/>
              <w:adjustRightInd/>
              <w:spacing w:line="240" w:lineRule="auto"/>
              <w:jc w:val="right"/>
              <w:textAlignment w:val="auto"/>
              <w:rPr>
                <w:rFonts w:cs="Arial"/>
                <w:szCs w:val="20"/>
              </w:rPr>
            </w:pPr>
            <w:r w:rsidRPr="00225405">
              <w:rPr>
                <w:rFonts w:cs="Arial"/>
                <w:szCs w:val="20"/>
              </w:rPr>
              <w:t>10 680</w:t>
            </w:r>
          </w:p>
        </w:tc>
      </w:tr>
      <w:tr w:rsidR="001360A9" w:rsidRPr="00225405">
        <w:trPr>
          <w:trHeight w:val="255"/>
        </w:trPr>
        <w:tc>
          <w:tcPr>
            <w:tcW w:w="2940" w:type="dxa"/>
            <w:tcBorders>
              <w:top w:val="nil"/>
              <w:left w:val="single" w:sz="4" w:space="0" w:color="auto"/>
              <w:bottom w:val="nil"/>
              <w:right w:val="nil"/>
            </w:tcBorders>
            <w:shd w:val="clear" w:color="auto" w:fill="FFCC00"/>
            <w:noWrap/>
            <w:vAlign w:val="bottom"/>
          </w:tcPr>
          <w:p w:rsidR="001360A9" w:rsidRPr="00225405" w:rsidRDefault="001360A9" w:rsidP="001360A9">
            <w:pPr>
              <w:widowControl/>
              <w:adjustRightInd/>
              <w:spacing w:line="240" w:lineRule="auto"/>
              <w:jc w:val="left"/>
              <w:textAlignment w:val="auto"/>
              <w:rPr>
                <w:rFonts w:cs="Arial"/>
                <w:szCs w:val="20"/>
              </w:rPr>
            </w:pPr>
            <w:r w:rsidRPr="00225405">
              <w:rPr>
                <w:rFonts w:cs="Arial"/>
                <w:szCs w:val="20"/>
              </w:rPr>
              <w:t> </w:t>
            </w:r>
          </w:p>
        </w:tc>
        <w:tc>
          <w:tcPr>
            <w:tcW w:w="5540" w:type="dxa"/>
            <w:tcBorders>
              <w:top w:val="nil"/>
              <w:left w:val="single" w:sz="4" w:space="0" w:color="auto"/>
              <w:bottom w:val="nil"/>
              <w:right w:val="nil"/>
            </w:tcBorders>
            <w:shd w:val="clear" w:color="auto" w:fill="FFCC00"/>
            <w:noWrap/>
            <w:vAlign w:val="bottom"/>
          </w:tcPr>
          <w:p w:rsidR="001360A9" w:rsidRPr="00225405" w:rsidRDefault="001360A9" w:rsidP="001360A9">
            <w:pPr>
              <w:widowControl/>
              <w:adjustRightInd/>
              <w:spacing w:line="240" w:lineRule="auto"/>
              <w:jc w:val="left"/>
              <w:textAlignment w:val="auto"/>
              <w:rPr>
                <w:rFonts w:cs="Arial"/>
                <w:szCs w:val="20"/>
              </w:rPr>
            </w:pPr>
            <w:r w:rsidRPr="00225405">
              <w:rPr>
                <w:rFonts w:cs="Arial"/>
                <w:szCs w:val="20"/>
              </w:rPr>
              <w:t> </w:t>
            </w:r>
          </w:p>
        </w:tc>
        <w:tc>
          <w:tcPr>
            <w:tcW w:w="960" w:type="dxa"/>
            <w:tcBorders>
              <w:top w:val="nil"/>
              <w:left w:val="single" w:sz="4" w:space="0" w:color="auto"/>
              <w:bottom w:val="nil"/>
              <w:right w:val="single" w:sz="4" w:space="0" w:color="auto"/>
            </w:tcBorders>
            <w:shd w:val="clear" w:color="auto" w:fill="FFCC00"/>
            <w:noWrap/>
            <w:vAlign w:val="bottom"/>
          </w:tcPr>
          <w:p w:rsidR="001360A9" w:rsidRPr="00225405" w:rsidRDefault="001360A9" w:rsidP="001360A9">
            <w:pPr>
              <w:widowControl/>
              <w:adjustRightInd/>
              <w:spacing w:line="240" w:lineRule="auto"/>
              <w:jc w:val="left"/>
              <w:textAlignment w:val="auto"/>
              <w:rPr>
                <w:rFonts w:cs="Arial"/>
                <w:szCs w:val="20"/>
              </w:rPr>
            </w:pPr>
            <w:r w:rsidRPr="00225405">
              <w:rPr>
                <w:rFonts w:cs="Arial"/>
                <w:szCs w:val="20"/>
              </w:rPr>
              <w:t> </w:t>
            </w:r>
          </w:p>
        </w:tc>
      </w:tr>
      <w:tr w:rsidR="001360A9" w:rsidRPr="00225405">
        <w:trPr>
          <w:trHeight w:val="255"/>
        </w:trPr>
        <w:tc>
          <w:tcPr>
            <w:tcW w:w="2940" w:type="dxa"/>
            <w:tcBorders>
              <w:top w:val="nil"/>
              <w:left w:val="single" w:sz="4" w:space="0" w:color="auto"/>
              <w:bottom w:val="nil"/>
              <w:right w:val="nil"/>
            </w:tcBorders>
            <w:shd w:val="clear" w:color="auto" w:fill="FFCC00"/>
            <w:noWrap/>
            <w:vAlign w:val="bottom"/>
          </w:tcPr>
          <w:p w:rsidR="001360A9" w:rsidRPr="00225405" w:rsidRDefault="001360A9" w:rsidP="001360A9">
            <w:pPr>
              <w:widowControl/>
              <w:adjustRightInd/>
              <w:spacing w:line="240" w:lineRule="auto"/>
              <w:jc w:val="left"/>
              <w:textAlignment w:val="auto"/>
              <w:rPr>
                <w:rFonts w:cs="Arial"/>
                <w:b/>
                <w:bCs/>
                <w:szCs w:val="20"/>
              </w:rPr>
            </w:pPr>
            <w:r w:rsidRPr="00225405">
              <w:rPr>
                <w:rFonts w:cs="Arial"/>
                <w:b/>
                <w:bCs/>
                <w:szCs w:val="20"/>
              </w:rPr>
              <w:t> </w:t>
            </w:r>
          </w:p>
        </w:tc>
        <w:tc>
          <w:tcPr>
            <w:tcW w:w="5540" w:type="dxa"/>
            <w:tcBorders>
              <w:top w:val="nil"/>
              <w:left w:val="single" w:sz="4" w:space="0" w:color="auto"/>
              <w:bottom w:val="nil"/>
              <w:right w:val="nil"/>
            </w:tcBorders>
            <w:shd w:val="clear" w:color="auto" w:fill="FFCC00"/>
            <w:noWrap/>
            <w:vAlign w:val="bottom"/>
          </w:tcPr>
          <w:p w:rsidR="001360A9" w:rsidRPr="00225405" w:rsidRDefault="001360A9" w:rsidP="001360A9">
            <w:pPr>
              <w:widowControl/>
              <w:adjustRightInd/>
              <w:spacing w:line="240" w:lineRule="auto"/>
              <w:jc w:val="left"/>
              <w:textAlignment w:val="auto"/>
              <w:rPr>
                <w:rFonts w:cs="Arial"/>
                <w:b/>
                <w:bCs/>
                <w:szCs w:val="20"/>
              </w:rPr>
            </w:pPr>
            <w:r w:rsidRPr="00225405">
              <w:rPr>
                <w:rFonts w:cs="Arial"/>
                <w:b/>
                <w:bCs/>
                <w:szCs w:val="20"/>
              </w:rPr>
              <w:t>Daňový bonus</w:t>
            </w:r>
          </w:p>
        </w:tc>
        <w:tc>
          <w:tcPr>
            <w:tcW w:w="960" w:type="dxa"/>
            <w:tcBorders>
              <w:top w:val="nil"/>
              <w:left w:val="single" w:sz="4" w:space="0" w:color="auto"/>
              <w:bottom w:val="nil"/>
              <w:right w:val="single" w:sz="4" w:space="0" w:color="auto"/>
            </w:tcBorders>
            <w:shd w:val="clear" w:color="auto" w:fill="FFCC00"/>
            <w:noWrap/>
            <w:vAlign w:val="bottom"/>
          </w:tcPr>
          <w:p w:rsidR="001360A9" w:rsidRPr="00225405" w:rsidRDefault="001360A9" w:rsidP="001360A9">
            <w:pPr>
              <w:widowControl/>
              <w:adjustRightInd/>
              <w:spacing w:line="240" w:lineRule="auto"/>
              <w:jc w:val="right"/>
              <w:textAlignment w:val="auto"/>
              <w:rPr>
                <w:rFonts w:cs="Arial"/>
                <w:szCs w:val="20"/>
              </w:rPr>
            </w:pPr>
            <w:r w:rsidRPr="00225405">
              <w:rPr>
                <w:rFonts w:cs="Arial"/>
                <w:szCs w:val="20"/>
              </w:rPr>
              <w:t>10 680</w:t>
            </w:r>
          </w:p>
        </w:tc>
      </w:tr>
      <w:tr w:rsidR="001360A9" w:rsidRPr="00225405">
        <w:trPr>
          <w:trHeight w:val="255"/>
        </w:trPr>
        <w:tc>
          <w:tcPr>
            <w:tcW w:w="2940" w:type="dxa"/>
            <w:tcBorders>
              <w:top w:val="nil"/>
              <w:left w:val="single" w:sz="4" w:space="0" w:color="auto"/>
              <w:bottom w:val="nil"/>
              <w:right w:val="nil"/>
            </w:tcBorders>
            <w:shd w:val="clear" w:color="auto" w:fill="FFCC00"/>
            <w:noWrap/>
            <w:vAlign w:val="bottom"/>
          </w:tcPr>
          <w:p w:rsidR="001360A9" w:rsidRPr="00225405" w:rsidRDefault="001360A9" w:rsidP="001360A9">
            <w:pPr>
              <w:widowControl/>
              <w:adjustRightInd/>
              <w:spacing w:line="240" w:lineRule="auto"/>
              <w:jc w:val="left"/>
              <w:textAlignment w:val="auto"/>
              <w:rPr>
                <w:rFonts w:cs="Arial"/>
                <w:b/>
                <w:bCs/>
                <w:szCs w:val="20"/>
              </w:rPr>
            </w:pPr>
            <w:r w:rsidRPr="00225405">
              <w:rPr>
                <w:rFonts w:cs="Arial"/>
                <w:b/>
                <w:bCs/>
                <w:szCs w:val="20"/>
              </w:rPr>
              <w:t>Zúčtování bonusů</w:t>
            </w:r>
          </w:p>
        </w:tc>
        <w:tc>
          <w:tcPr>
            <w:tcW w:w="5540" w:type="dxa"/>
            <w:tcBorders>
              <w:top w:val="nil"/>
              <w:left w:val="single" w:sz="4" w:space="0" w:color="auto"/>
              <w:bottom w:val="nil"/>
              <w:right w:val="nil"/>
            </w:tcBorders>
            <w:shd w:val="clear" w:color="auto" w:fill="FFCC00"/>
            <w:noWrap/>
            <w:vAlign w:val="bottom"/>
          </w:tcPr>
          <w:p w:rsidR="001360A9" w:rsidRPr="00225405" w:rsidRDefault="001360A9" w:rsidP="001360A9">
            <w:pPr>
              <w:widowControl/>
              <w:adjustRightInd/>
              <w:spacing w:line="240" w:lineRule="auto"/>
              <w:jc w:val="left"/>
              <w:textAlignment w:val="auto"/>
              <w:rPr>
                <w:rFonts w:cs="Arial"/>
                <w:b/>
                <w:bCs/>
                <w:szCs w:val="20"/>
              </w:rPr>
            </w:pPr>
            <w:r w:rsidRPr="00225405">
              <w:rPr>
                <w:rFonts w:cs="Arial"/>
                <w:b/>
                <w:bCs/>
                <w:szCs w:val="20"/>
              </w:rPr>
              <w:t>Minus vyplacené bonusy</w:t>
            </w:r>
          </w:p>
        </w:tc>
        <w:tc>
          <w:tcPr>
            <w:tcW w:w="960" w:type="dxa"/>
            <w:tcBorders>
              <w:top w:val="nil"/>
              <w:left w:val="single" w:sz="4" w:space="0" w:color="auto"/>
              <w:bottom w:val="nil"/>
              <w:right w:val="single" w:sz="4" w:space="0" w:color="auto"/>
            </w:tcBorders>
            <w:shd w:val="clear" w:color="auto" w:fill="FFCC00"/>
            <w:noWrap/>
            <w:vAlign w:val="bottom"/>
          </w:tcPr>
          <w:p w:rsidR="001360A9" w:rsidRPr="00225405" w:rsidRDefault="001360A9" w:rsidP="001360A9">
            <w:pPr>
              <w:widowControl/>
              <w:adjustRightInd/>
              <w:spacing w:line="240" w:lineRule="auto"/>
              <w:jc w:val="right"/>
              <w:textAlignment w:val="auto"/>
              <w:rPr>
                <w:rFonts w:cs="Arial"/>
                <w:szCs w:val="20"/>
              </w:rPr>
            </w:pPr>
            <w:r w:rsidRPr="00225405">
              <w:rPr>
                <w:rFonts w:cs="Arial"/>
                <w:szCs w:val="20"/>
              </w:rPr>
              <w:t>7 065</w:t>
            </w:r>
          </w:p>
        </w:tc>
      </w:tr>
      <w:tr w:rsidR="001360A9" w:rsidRPr="00225405">
        <w:trPr>
          <w:trHeight w:val="255"/>
        </w:trPr>
        <w:tc>
          <w:tcPr>
            <w:tcW w:w="2940" w:type="dxa"/>
            <w:tcBorders>
              <w:top w:val="nil"/>
              <w:left w:val="single" w:sz="4" w:space="0" w:color="auto"/>
              <w:bottom w:val="single" w:sz="4" w:space="0" w:color="auto"/>
              <w:right w:val="nil"/>
            </w:tcBorders>
            <w:shd w:val="clear" w:color="auto" w:fill="FFCC00"/>
            <w:noWrap/>
            <w:vAlign w:val="bottom"/>
          </w:tcPr>
          <w:p w:rsidR="001360A9" w:rsidRPr="00225405" w:rsidRDefault="001360A9" w:rsidP="001360A9">
            <w:pPr>
              <w:widowControl/>
              <w:adjustRightInd/>
              <w:spacing w:line="240" w:lineRule="auto"/>
              <w:jc w:val="left"/>
              <w:textAlignment w:val="auto"/>
              <w:rPr>
                <w:rFonts w:cs="Arial"/>
                <w:b/>
                <w:bCs/>
                <w:szCs w:val="20"/>
              </w:rPr>
            </w:pPr>
            <w:r w:rsidRPr="00225405">
              <w:rPr>
                <w:rFonts w:cs="Arial"/>
                <w:b/>
                <w:bCs/>
                <w:szCs w:val="20"/>
              </w:rPr>
              <w:t> </w:t>
            </w:r>
          </w:p>
        </w:tc>
        <w:tc>
          <w:tcPr>
            <w:tcW w:w="5540" w:type="dxa"/>
            <w:tcBorders>
              <w:top w:val="nil"/>
              <w:left w:val="single" w:sz="4" w:space="0" w:color="auto"/>
              <w:bottom w:val="single" w:sz="4" w:space="0" w:color="auto"/>
              <w:right w:val="nil"/>
            </w:tcBorders>
            <w:shd w:val="clear" w:color="auto" w:fill="FFCC00"/>
            <w:noWrap/>
            <w:vAlign w:val="bottom"/>
          </w:tcPr>
          <w:p w:rsidR="001360A9" w:rsidRPr="00225405" w:rsidRDefault="001360A9" w:rsidP="001360A9">
            <w:pPr>
              <w:widowControl/>
              <w:adjustRightInd/>
              <w:spacing w:line="240" w:lineRule="auto"/>
              <w:jc w:val="left"/>
              <w:textAlignment w:val="auto"/>
              <w:rPr>
                <w:rFonts w:cs="Arial"/>
                <w:b/>
                <w:bCs/>
                <w:szCs w:val="20"/>
              </w:rPr>
            </w:pPr>
            <w:r w:rsidRPr="00225405">
              <w:rPr>
                <w:rFonts w:cs="Arial"/>
                <w:b/>
                <w:bCs/>
                <w:szCs w:val="20"/>
              </w:rPr>
              <w:t>Rozdíl na daňovém bonusu</w:t>
            </w:r>
          </w:p>
        </w:tc>
        <w:tc>
          <w:tcPr>
            <w:tcW w:w="960" w:type="dxa"/>
            <w:tcBorders>
              <w:top w:val="nil"/>
              <w:left w:val="single" w:sz="4" w:space="0" w:color="auto"/>
              <w:bottom w:val="single" w:sz="4" w:space="0" w:color="auto"/>
              <w:right w:val="single" w:sz="4" w:space="0" w:color="auto"/>
            </w:tcBorders>
            <w:shd w:val="clear" w:color="auto" w:fill="FFCC00"/>
            <w:noWrap/>
            <w:vAlign w:val="bottom"/>
          </w:tcPr>
          <w:p w:rsidR="001360A9" w:rsidRPr="00225405" w:rsidRDefault="001360A9" w:rsidP="001360A9">
            <w:pPr>
              <w:widowControl/>
              <w:adjustRightInd/>
              <w:spacing w:line="240" w:lineRule="auto"/>
              <w:jc w:val="right"/>
              <w:textAlignment w:val="auto"/>
              <w:rPr>
                <w:rFonts w:cs="Arial"/>
                <w:szCs w:val="20"/>
              </w:rPr>
            </w:pPr>
            <w:r w:rsidRPr="00225405">
              <w:rPr>
                <w:rFonts w:cs="Arial"/>
                <w:szCs w:val="20"/>
              </w:rPr>
              <w:t>3 615</w:t>
            </w:r>
          </w:p>
        </w:tc>
      </w:tr>
      <w:tr w:rsidR="001360A9" w:rsidRPr="00225405">
        <w:trPr>
          <w:trHeight w:val="255"/>
        </w:trPr>
        <w:tc>
          <w:tcPr>
            <w:tcW w:w="2940" w:type="dxa"/>
            <w:tcBorders>
              <w:top w:val="nil"/>
              <w:left w:val="single" w:sz="4" w:space="0" w:color="auto"/>
              <w:bottom w:val="nil"/>
              <w:right w:val="nil"/>
            </w:tcBorders>
            <w:shd w:val="clear" w:color="auto" w:fill="FF9900"/>
            <w:noWrap/>
            <w:vAlign w:val="bottom"/>
          </w:tcPr>
          <w:p w:rsidR="001360A9" w:rsidRPr="00225405" w:rsidRDefault="001360A9" w:rsidP="001360A9">
            <w:pPr>
              <w:widowControl/>
              <w:adjustRightInd/>
              <w:spacing w:line="240" w:lineRule="auto"/>
              <w:jc w:val="left"/>
              <w:textAlignment w:val="auto"/>
              <w:rPr>
                <w:rFonts w:cs="Arial"/>
                <w:b/>
                <w:bCs/>
                <w:szCs w:val="20"/>
              </w:rPr>
            </w:pPr>
            <w:r w:rsidRPr="00225405">
              <w:rPr>
                <w:rFonts w:cs="Arial"/>
                <w:b/>
                <w:bCs/>
                <w:szCs w:val="20"/>
              </w:rPr>
              <w:t> </w:t>
            </w:r>
          </w:p>
        </w:tc>
        <w:tc>
          <w:tcPr>
            <w:tcW w:w="5540" w:type="dxa"/>
            <w:tcBorders>
              <w:top w:val="nil"/>
              <w:left w:val="single" w:sz="4" w:space="0" w:color="auto"/>
              <w:bottom w:val="nil"/>
              <w:right w:val="nil"/>
            </w:tcBorders>
            <w:shd w:val="clear" w:color="auto" w:fill="FF9900"/>
            <w:noWrap/>
            <w:vAlign w:val="bottom"/>
          </w:tcPr>
          <w:p w:rsidR="001360A9" w:rsidRPr="00225405" w:rsidRDefault="001360A9" w:rsidP="001360A9">
            <w:pPr>
              <w:widowControl/>
              <w:adjustRightInd/>
              <w:spacing w:line="240" w:lineRule="auto"/>
              <w:jc w:val="left"/>
              <w:textAlignment w:val="auto"/>
              <w:rPr>
                <w:rFonts w:cs="Arial"/>
                <w:b/>
                <w:bCs/>
                <w:szCs w:val="20"/>
              </w:rPr>
            </w:pPr>
            <w:r w:rsidRPr="00225405">
              <w:rPr>
                <w:rFonts w:cs="Arial"/>
                <w:b/>
                <w:bCs/>
                <w:szCs w:val="20"/>
              </w:rPr>
              <w:t> </w:t>
            </w:r>
          </w:p>
        </w:tc>
        <w:tc>
          <w:tcPr>
            <w:tcW w:w="960" w:type="dxa"/>
            <w:tcBorders>
              <w:top w:val="nil"/>
              <w:left w:val="single" w:sz="4" w:space="0" w:color="auto"/>
              <w:bottom w:val="nil"/>
              <w:right w:val="single" w:sz="4" w:space="0" w:color="auto"/>
            </w:tcBorders>
            <w:shd w:val="clear" w:color="auto" w:fill="FF9900"/>
            <w:noWrap/>
            <w:vAlign w:val="bottom"/>
          </w:tcPr>
          <w:p w:rsidR="001360A9" w:rsidRPr="00225405" w:rsidRDefault="001360A9" w:rsidP="001360A9">
            <w:pPr>
              <w:widowControl/>
              <w:adjustRightInd/>
              <w:spacing w:line="240" w:lineRule="auto"/>
              <w:jc w:val="left"/>
              <w:textAlignment w:val="auto"/>
              <w:rPr>
                <w:rFonts w:cs="Arial"/>
                <w:szCs w:val="20"/>
              </w:rPr>
            </w:pPr>
            <w:r w:rsidRPr="00225405">
              <w:rPr>
                <w:rFonts w:cs="Arial"/>
                <w:szCs w:val="20"/>
              </w:rPr>
              <w:t> </w:t>
            </w:r>
          </w:p>
        </w:tc>
      </w:tr>
      <w:tr w:rsidR="001360A9" w:rsidRPr="00225405">
        <w:trPr>
          <w:trHeight w:val="255"/>
        </w:trPr>
        <w:tc>
          <w:tcPr>
            <w:tcW w:w="2940" w:type="dxa"/>
            <w:tcBorders>
              <w:top w:val="nil"/>
              <w:left w:val="single" w:sz="4" w:space="0" w:color="auto"/>
              <w:bottom w:val="nil"/>
              <w:right w:val="nil"/>
            </w:tcBorders>
            <w:shd w:val="clear" w:color="auto" w:fill="FF9900"/>
            <w:noWrap/>
            <w:vAlign w:val="bottom"/>
          </w:tcPr>
          <w:p w:rsidR="001360A9" w:rsidRPr="00225405" w:rsidRDefault="001360A9" w:rsidP="001360A9">
            <w:pPr>
              <w:widowControl/>
              <w:adjustRightInd/>
              <w:spacing w:line="240" w:lineRule="auto"/>
              <w:jc w:val="left"/>
              <w:textAlignment w:val="auto"/>
              <w:rPr>
                <w:rFonts w:cs="Arial"/>
                <w:b/>
                <w:bCs/>
                <w:szCs w:val="20"/>
              </w:rPr>
            </w:pPr>
            <w:r w:rsidRPr="00225405">
              <w:rPr>
                <w:rFonts w:cs="Arial"/>
                <w:b/>
                <w:bCs/>
                <w:szCs w:val="20"/>
              </w:rPr>
              <w:t>Výsledek</w:t>
            </w:r>
          </w:p>
        </w:tc>
        <w:tc>
          <w:tcPr>
            <w:tcW w:w="5540" w:type="dxa"/>
            <w:tcBorders>
              <w:top w:val="nil"/>
              <w:left w:val="single" w:sz="4" w:space="0" w:color="auto"/>
              <w:bottom w:val="nil"/>
              <w:right w:val="nil"/>
            </w:tcBorders>
            <w:shd w:val="clear" w:color="auto" w:fill="FF9900"/>
            <w:noWrap/>
            <w:vAlign w:val="bottom"/>
          </w:tcPr>
          <w:p w:rsidR="001360A9" w:rsidRPr="00225405" w:rsidRDefault="001360A9" w:rsidP="001360A9">
            <w:pPr>
              <w:widowControl/>
              <w:adjustRightInd/>
              <w:spacing w:line="240" w:lineRule="auto"/>
              <w:jc w:val="left"/>
              <w:textAlignment w:val="auto"/>
              <w:rPr>
                <w:rFonts w:cs="Arial"/>
                <w:b/>
                <w:bCs/>
                <w:szCs w:val="20"/>
              </w:rPr>
            </w:pPr>
            <w:r w:rsidRPr="00225405">
              <w:rPr>
                <w:rFonts w:cs="Arial"/>
                <w:b/>
                <w:bCs/>
                <w:szCs w:val="20"/>
              </w:rPr>
              <w:t>Výsledek</w:t>
            </w:r>
          </w:p>
        </w:tc>
        <w:tc>
          <w:tcPr>
            <w:tcW w:w="960" w:type="dxa"/>
            <w:tcBorders>
              <w:top w:val="nil"/>
              <w:left w:val="single" w:sz="4" w:space="0" w:color="auto"/>
              <w:bottom w:val="nil"/>
              <w:right w:val="single" w:sz="4" w:space="0" w:color="auto"/>
            </w:tcBorders>
            <w:shd w:val="clear" w:color="auto" w:fill="FF9900"/>
            <w:noWrap/>
            <w:vAlign w:val="bottom"/>
          </w:tcPr>
          <w:p w:rsidR="001360A9" w:rsidRPr="00225405" w:rsidRDefault="001360A9" w:rsidP="001360A9">
            <w:pPr>
              <w:widowControl/>
              <w:adjustRightInd/>
              <w:spacing w:line="240" w:lineRule="auto"/>
              <w:jc w:val="left"/>
              <w:textAlignment w:val="auto"/>
              <w:rPr>
                <w:rFonts w:cs="Arial"/>
                <w:szCs w:val="20"/>
              </w:rPr>
            </w:pPr>
            <w:r w:rsidRPr="00225405">
              <w:rPr>
                <w:rFonts w:cs="Arial"/>
                <w:szCs w:val="20"/>
              </w:rPr>
              <w:t> </w:t>
            </w:r>
          </w:p>
        </w:tc>
      </w:tr>
      <w:tr w:rsidR="001360A9" w:rsidRPr="00225405">
        <w:trPr>
          <w:trHeight w:val="255"/>
        </w:trPr>
        <w:tc>
          <w:tcPr>
            <w:tcW w:w="2940" w:type="dxa"/>
            <w:tcBorders>
              <w:top w:val="nil"/>
              <w:left w:val="single" w:sz="4" w:space="0" w:color="auto"/>
              <w:bottom w:val="single" w:sz="4" w:space="0" w:color="auto"/>
              <w:right w:val="nil"/>
            </w:tcBorders>
            <w:shd w:val="clear" w:color="auto" w:fill="FF9900"/>
            <w:noWrap/>
            <w:vAlign w:val="bottom"/>
          </w:tcPr>
          <w:p w:rsidR="001360A9" w:rsidRPr="00225405" w:rsidRDefault="001360A9" w:rsidP="001360A9">
            <w:pPr>
              <w:widowControl/>
              <w:adjustRightInd/>
              <w:spacing w:line="240" w:lineRule="auto"/>
              <w:jc w:val="left"/>
              <w:textAlignment w:val="auto"/>
              <w:rPr>
                <w:rFonts w:cs="Arial"/>
                <w:b/>
                <w:bCs/>
                <w:szCs w:val="20"/>
              </w:rPr>
            </w:pPr>
            <w:r w:rsidRPr="00225405">
              <w:rPr>
                <w:rFonts w:cs="Arial"/>
                <w:b/>
                <w:bCs/>
                <w:szCs w:val="20"/>
              </w:rPr>
              <w:t> </w:t>
            </w:r>
          </w:p>
        </w:tc>
        <w:tc>
          <w:tcPr>
            <w:tcW w:w="5540" w:type="dxa"/>
            <w:tcBorders>
              <w:top w:val="nil"/>
              <w:left w:val="single" w:sz="4" w:space="0" w:color="auto"/>
              <w:bottom w:val="single" w:sz="4" w:space="0" w:color="auto"/>
              <w:right w:val="nil"/>
            </w:tcBorders>
            <w:shd w:val="clear" w:color="auto" w:fill="FF9900"/>
            <w:noWrap/>
            <w:vAlign w:val="bottom"/>
          </w:tcPr>
          <w:p w:rsidR="001360A9" w:rsidRPr="00225405" w:rsidRDefault="001360A9" w:rsidP="001360A9">
            <w:pPr>
              <w:widowControl/>
              <w:adjustRightInd/>
              <w:spacing w:line="240" w:lineRule="auto"/>
              <w:jc w:val="left"/>
              <w:textAlignment w:val="auto"/>
              <w:rPr>
                <w:rFonts w:cs="Arial"/>
                <w:b/>
                <w:bCs/>
                <w:szCs w:val="20"/>
              </w:rPr>
            </w:pPr>
            <w:r w:rsidRPr="00225405">
              <w:rPr>
                <w:rFonts w:cs="Arial"/>
                <w:b/>
                <w:bCs/>
                <w:szCs w:val="20"/>
              </w:rPr>
              <w:t>(Rozdíl na dani po slevě a Rozdíl daňového bonusu)</w:t>
            </w:r>
          </w:p>
        </w:tc>
        <w:tc>
          <w:tcPr>
            <w:tcW w:w="960" w:type="dxa"/>
            <w:tcBorders>
              <w:top w:val="nil"/>
              <w:left w:val="single" w:sz="4" w:space="0" w:color="auto"/>
              <w:bottom w:val="single" w:sz="4" w:space="0" w:color="auto"/>
              <w:right w:val="single" w:sz="4" w:space="0" w:color="auto"/>
            </w:tcBorders>
            <w:shd w:val="clear" w:color="auto" w:fill="FF9900"/>
            <w:noWrap/>
            <w:vAlign w:val="bottom"/>
          </w:tcPr>
          <w:p w:rsidR="001360A9" w:rsidRPr="00225405" w:rsidRDefault="001360A9" w:rsidP="001360A9">
            <w:pPr>
              <w:widowControl/>
              <w:adjustRightInd/>
              <w:spacing w:line="240" w:lineRule="auto"/>
              <w:jc w:val="right"/>
              <w:textAlignment w:val="auto"/>
              <w:rPr>
                <w:rFonts w:cs="Arial"/>
                <w:szCs w:val="20"/>
              </w:rPr>
            </w:pPr>
            <w:r w:rsidRPr="00225405">
              <w:rPr>
                <w:rFonts w:cs="Arial"/>
                <w:szCs w:val="20"/>
              </w:rPr>
              <w:t>3 835</w:t>
            </w:r>
          </w:p>
        </w:tc>
      </w:tr>
    </w:tbl>
    <w:p w:rsidR="001360A9" w:rsidRPr="00225405" w:rsidRDefault="001360A9" w:rsidP="0074246D">
      <w:pPr>
        <w:rPr>
          <w:szCs w:val="20"/>
        </w:rPr>
      </w:pPr>
    </w:p>
    <w:p w:rsidR="0074246D" w:rsidRDefault="0074246D" w:rsidP="0074246D">
      <w:pPr>
        <w:rPr>
          <w:i/>
          <w:color w:val="548DD4"/>
        </w:rPr>
      </w:pPr>
    </w:p>
    <w:p w:rsidR="0074246D" w:rsidRDefault="0074246D" w:rsidP="0074246D">
      <w:pPr>
        <w:rPr>
          <w:i/>
          <w:color w:val="548DD4"/>
        </w:rPr>
      </w:pPr>
    </w:p>
    <w:p w:rsidR="0074246D" w:rsidRDefault="00AC6985" w:rsidP="0074246D">
      <w:pPr>
        <w:rPr>
          <w:i/>
          <w:color w:val="548DD4"/>
        </w:rPr>
      </w:pPr>
      <w:r>
        <w:rPr>
          <w:i/>
          <w:noProof/>
          <w:color w:val="548DD4"/>
        </w:rPr>
        <w:lastRenderedPageBreak/>
        <w:drawing>
          <wp:inline distT="0" distB="0" distL="0" distR="0" wp14:anchorId="2322A961" wp14:editId="03C8A8D6">
            <wp:extent cx="5572125" cy="4581525"/>
            <wp:effectExtent l="19050" t="0" r="9525"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cstate="print"/>
                    <a:srcRect/>
                    <a:stretch>
                      <a:fillRect/>
                    </a:stretch>
                  </pic:blipFill>
                  <pic:spPr bwMode="auto">
                    <a:xfrm>
                      <a:off x="0" y="0"/>
                      <a:ext cx="5572125" cy="4581525"/>
                    </a:xfrm>
                    <a:prstGeom prst="rect">
                      <a:avLst/>
                    </a:prstGeom>
                    <a:noFill/>
                    <a:ln w="9525">
                      <a:noFill/>
                      <a:miter lim="800000"/>
                      <a:headEnd/>
                      <a:tailEnd/>
                    </a:ln>
                  </pic:spPr>
                </pic:pic>
              </a:graphicData>
            </a:graphic>
          </wp:inline>
        </w:drawing>
      </w:r>
    </w:p>
    <w:p w:rsidR="0074246D" w:rsidRDefault="0074246D" w:rsidP="0074246D">
      <w:pPr>
        <w:rPr>
          <w:i/>
          <w:color w:val="548DD4"/>
        </w:rPr>
      </w:pPr>
      <w:r>
        <w:rPr>
          <w:i/>
          <w:color w:val="548DD4"/>
        </w:rPr>
        <w:br w:type="page"/>
      </w:r>
    </w:p>
    <w:p w:rsidR="0074246D" w:rsidRPr="006B1E2E" w:rsidRDefault="0074246D" w:rsidP="0074246D">
      <w:pPr>
        <w:rPr>
          <w:b/>
        </w:rPr>
      </w:pPr>
      <w:r w:rsidRPr="006B1E2E">
        <w:rPr>
          <w:b/>
        </w:rPr>
        <w:lastRenderedPageBreak/>
        <w:t>Příklad</w:t>
      </w:r>
    </w:p>
    <w:p w:rsidR="0074246D" w:rsidRDefault="0012070B" w:rsidP="0074246D">
      <w:r>
        <w:t>Pan Orel</w:t>
      </w:r>
      <w:r w:rsidR="0074246D" w:rsidRPr="006B1E2E">
        <w:t xml:space="preserve">, který uplatňuje slevu na poplatníka a </w:t>
      </w:r>
      <w:r>
        <w:t>slevu na penzijní a životní pojištění ve výši 24 000 Kč</w:t>
      </w:r>
      <w:r w:rsidR="0074246D" w:rsidRPr="006B1E2E">
        <w:t xml:space="preserve"> požád</w:t>
      </w:r>
      <w:r>
        <w:t xml:space="preserve">al o roční zúčtování za rok </w:t>
      </w:r>
      <w:r w:rsidR="00C345B2">
        <w:t>2013</w:t>
      </w:r>
      <w:r w:rsidR="0074246D" w:rsidRPr="006B1E2E">
        <w:t xml:space="preserve">. </w:t>
      </w:r>
    </w:p>
    <w:tbl>
      <w:tblPr>
        <w:tblW w:w="9440" w:type="dxa"/>
        <w:tblInd w:w="55" w:type="dxa"/>
        <w:tblCellMar>
          <w:left w:w="70" w:type="dxa"/>
          <w:right w:w="70" w:type="dxa"/>
        </w:tblCellMar>
        <w:tblLook w:val="0000" w:firstRow="0" w:lastRow="0" w:firstColumn="0" w:lastColumn="0" w:noHBand="0" w:noVBand="0"/>
      </w:tblPr>
      <w:tblGrid>
        <w:gridCol w:w="2940"/>
        <w:gridCol w:w="5540"/>
        <w:gridCol w:w="960"/>
      </w:tblGrid>
      <w:tr w:rsidR="00D60E25" w:rsidRPr="00D60E25">
        <w:trPr>
          <w:trHeight w:val="315"/>
        </w:trPr>
        <w:tc>
          <w:tcPr>
            <w:tcW w:w="2940" w:type="dxa"/>
            <w:tcBorders>
              <w:top w:val="single" w:sz="4" w:space="0" w:color="auto"/>
              <w:left w:val="single" w:sz="4" w:space="0" w:color="auto"/>
              <w:bottom w:val="nil"/>
              <w:right w:val="single" w:sz="4" w:space="0" w:color="auto"/>
            </w:tcBorders>
            <w:shd w:val="clear" w:color="auto" w:fill="FFFF99"/>
            <w:noWrap/>
            <w:vAlign w:val="bottom"/>
          </w:tcPr>
          <w:p w:rsidR="00D60E25" w:rsidRPr="00BE6A3C" w:rsidRDefault="00D60E25" w:rsidP="00D60E25">
            <w:pPr>
              <w:widowControl/>
              <w:adjustRightInd/>
              <w:spacing w:line="240" w:lineRule="auto"/>
              <w:jc w:val="left"/>
              <w:textAlignment w:val="auto"/>
              <w:rPr>
                <w:rFonts w:cs="Arial"/>
                <w:szCs w:val="20"/>
              </w:rPr>
            </w:pPr>
            <w:r w:rsidRPr="00BE6A3C">
              <w:rPr>
                <w:rFonts w:cs="Arial"/>
                <w:szCs w:val="20"/>
              </w:rPr>
              <w:t> </w:t>
            </w:r>
          </w:p>
        </w:tc>
        <w:tc>
          <w:tcPr>
            <w:tcW w:w="5540" w:type="dxa"/>
            <w:tcBorders>
              <w:top w:val="single" w:sz="4" w:space="0" w:color="auto"/>
              <w:left w:val="nil"/>
              <w:bottom w:val="nil"/>
              <w:right w:val="nil"/>
            </w:tcBorders>
            <w:shd w:val="clear" w:color="auto" w:fill="FFFF99"/>
            <w:noWrap/>
            <w:vAlign w:val="bottom"/>
          </w:tcPr>
          <w:p w:rsidR="00D60E25" w:rsidRPr="00BE6A3C" w:rsidRDefault="00D60E25" w:rsidP="000C5858">
            <w:pPr>
              <w:widowControl/>
              <w:adjustRightInd/>
              <w:spacing w:line="240" w:lineRule="auto"/>
              <w:jc w:val="left"/>
              <w:textAlignment w:val="auto"/>
              <w:rPr>
                <w:rFonts w:cs="Arial"/>
                <w:b/>
                <w:bCs/>
                <w:sz w:val="24"/>
              </w:rPr>
            </w:pPr>
            <w:r w:rsidRPr="00BE6A3C">
              <w:rPr>
                <w:rFonts w:cs="Arial"/>
                <w:b/>
                <w:bCs/>
                <w:sz w:val="24"/>
              </w:rPr>
              <w:t xml:space="preserve">Roční zúčtování od roku </w:t>
            </w:r>
            <w:r w:rsidR="00C345B2">
              <w:rPr>
                <w:rFonts w:cs="Arial"/>
                <w:b/>
                <w:bCs/>
                <w:sz w:val="24"/>
              </w:rPr>
              <w:t>2013</w:t>
            </w:r>
          </w:p>
        </w:tc>
        <w:tc>
          <w:tcPr>
            <w:tcW w:w="960" w:type="dxa"/>
            <w:tcBorders>
              <w:top w:val="single" w:sz="4" w:space="0" w:color="auto"/>
              <w:left w:val="single" w:sz="4" w:space="0" w:color="auto"/>
              <w:bottom w:val="nil"/>
              <w:right w:val="single" w:sz="4" w:space="0" w:color="auto"/>
            </w:tcBorders>
            <w:shd w:val="clear" w:color="auto" w:fill="FFFF99"/>
            <w:noWrap/>
            <w:vAlign w:val="bottom"/>
          </w:tcPr>
          <w:p w:rsidR="00D60E25" w:rsidRPr="00BE6A3C" w:rsidRDefault="00D60E25" w:rsidP="00D60E25">
            <w:pPr>
              <w:widowControl/>
              <w:adjustRightInd/>
              <w:spacing w:line="240" w:lineRule="auto"/>
              <w:jc w:val="left"/>
              <w:textAlignment w:val="auto"/>
              <w:rPr>
                <w:rFonts w:cs="Arial"/>
                <w:szCs w:val="20"/>
              </w:rPr>
            </w:pPr>
            <w:r w:rsidRPr="00BE6A3C">
              <w:rPr>
                <w:rFonts w:cs="Arial"/>
                <w:szCs w:val="20"/>
              </w:rPr>
              <w:t> </w:t>
            </w:r>
          </w:p>
        </w:tc>
      </w:tr>
      <w:tr w:rsidR="00D60E25" w:rsidRPr="00D60E25">
        <w:trPr>
          <w:trHeight w:val="255"/>
        </w:trPr>
        <w:tc>
          <w:tcPr>
            <w:tcW w:w="2940" w:type="dxa"/>
            <w:tcBorders>
              <w:top w:val="nil"/>
              <w:left w:val="single" w:sz="4" w:space="0" w:color="auto"/>
              <w:bottom w:val="nil"/>
              <w:right w:val="single" w:sz="4" w:space="0" w:color="auto"/>
            </w:tcBorders>
            <w:shd w:val="clear" w:color="auto" w:fill="FFFF99"/>
            <w:noWrap/>
            <w:vAlign w:val="bottom"/>
          </w:tcPr>
          <w:p w:rsidR="00D60E25" w:rsidRPr="00BE6A3C" w:rsidRDefault="00D60E25" w:rsidP="00D60E25">
            <w:pPr>
              <w:widowControl/>
              <w:adjustRightInd/>
              <w:spacing w:line="240" w:lineRule="auto"/>
              <w:jc w:val="left"/>
              <w:textAlignment w:val="auto"/>
              <w:rPr>
                <w:rFonts w:cs="Arial"/>
                <w:szCs w:val="20"/>
              </w:rPr>
            </w:pPr>
            <w:r w:rsidRPr="00BE6A3C">
              <w:rPr>
                <w:rFonts w:cs="Arial"/>
                <w:szCs w:val="20"/>
              </w:rPr>
              <w:t> </w:t>
            </w:r>
          </w:p>
        </w:tc>
        <w:tc>
          <w:tcPr>
            <w:tcW w:w="5540" w:type="dxa"/>
            <w:tcBorders>
              <w:top w:val="nil"/>
              <w:left w:val="nil"/>
              <w:bottom w:val="nil"/>
              <w:right w:val="nil"/>
            </w:tcBorders>
            <w:shd w:val="clear" w:color="auto" w:fill="FFFF99"/>
            <w:noWrap/>
            <w:vAlign w:val="bottom"/>
          </w:tcPr>
          <w:p w:rsidR="00D60E25" w:rsidRPr="00BE6A3C" w:rsidRDefault="00D60E25" w:rsidP="00D60E25">
            <w:pPr>
              <w:widowControl/>
              <w:adjustRightInd/>
              <w:spacing w:line="240" w:lineRule="auto"/>
              <w:jc w:val="left"/>
              <w:textAlignment w:val="auto"/>
              <w:rPr>
                <w:rFonts w:cs="Arial"/>
                <w:szCs w:val="20"/>
              </w:rPr>
            </w:pPr>
            <w:r w:rsidRPr="00BE6A3C">
              <w:rPr>
                <w:rFonts w:cs="Arial"/>
                <w:szCs w:val="20"/>
              </w:rPr>
              <w:t> </w:t>
            </w:r>
          </w:p>
        </w:tc>
        <w:tc>
          <w:tcPr>
            <w:tcW w:w="960" w:type="dxa"/>
            <w:tcBorders>
              <w:top w:val="nil"/>
              <w:left w:val="single" w:sz="4" w:space="0" w:color="auto"/>
              <w:bottom w:val="nil"/>
              <w:right w:val="single" w:sz="4" w:space="0" w:color="auto"/>
            </w:tcBorders>
            <w:shd w:val="clear" w:color="auto" w:fill="FFFF99"/>
            <w:noWrap/>
            <w:vAlign w:val="bottom"/>
          </w:tcPr>
          <w:p w:rsidR="00D60E25" w:rsidRPr="00BE6A3C" w:rsidRDefault="00D60E25" w:rsidP="00D60E25">
            <w:pPr>
              <w:widowControl/>
              <w:adjustRightInd/>
              <w:spacing w:line="240" w:lineRule="auto"/>
              <w:jc w:val="left"/>
              <w:textAlignment w:val="auto"/>
              <w:rPr>
                <w:rFonts w:cs="Arial"/>
                <w:szCs w:val="20"/>
              </w:rPr>
            </w:pPr>
            <w:r w:rsidRPr="00BE6A3C">
              <w:rPr>
                <w:rFonts w:cs="Arial"/>
                <w:szCs w:val="20"/>
              </w:rPr>
              <w:t> </w:t>
            </w:r>
          </w:p>
        </w:tc>
      </w:tr>
      <w:tr w:rsidR="00D60E25" w:rsidRPr="00D60E25">
        <w:trPr>
          <w:trHeight w:val="255"/>
        </w:trPr>
        <w:tc>
          <w:tcPr>
            <w:tcW w:w="2940" w:type="dxa"/>
            <w:tcBorders>
              <w:top w:val="nil"/>
              <w:left w:val="single" w:sz="4" w:space="0" w:color="auto"/>
              <w:bottom w:val="nil"/>
              <w:right w:val="single" w:sz="4" w:space="0" w:color="auto"/>
            </w:tcBorders>
            <w:shd w:val="clear" w:color="auto" w:fill="FFFF99"/>
            <w:noWrap/>
            <w:vAlign w:val="bottom"/>
          </w:tcPr>
          <w:p w:rsidR="00D60E25" w:rsidRPr="00BE6A3C" w:rsidRDefault="00D60E25" w:rsidP="00D60E25">
            <w:pPr>
              <w:widowControl/>
              <w:adjustRightInd/>
              <w:spacing w:line="240" w:lineRule="auto"/>
              <w:jc w:val="left"/>
              <w:textAlignment w:val="auto"/>
              <w:rPr>
                <w:rFonts w:cs="Arial"/>
                <w:b/>
                <w:bCs/>
                <w:szCs w:val="20"/>
              </w:rPr>
            </w:pPr>
            <w:r w:rsidRPr="00BE6A3C">
              <w:rPr>
                <w:rFonts w:cs="Arial"/>
                <w:b/>
                <w:bCs/>
                <w:szCs w:val="20"/>
              </w:rPr>
              <w:t>Podklady pro roční zúčtování</w:t>
            </w:r>
          </w:p>
        </w:tc>
        <w:tc>
          <w:tcPr>
            <w:tcW w:w="5540" w:type="dxa"/>
            <w:tcBorders>
              <w:top w:val="nil"/>
              <w:left w:val="nil"/>
              <w:bottom w:val="nil"/>
              <w:right w:val="nil"/>
            </w:tcBorders>
            <w:shd w:val="clear" w:color="auto" w:fill="FFFF99"/>
            <w:noWrap/>
            <w:vAlign w:val="bottom"/>
          </w:tcPr>
          <w:p w:rsidR="00D60E25" w:rsidRPr="00BE6A3C" w:rsidRDefault="00D60E25" w:rsidP="00D60E25">
            <w:pPr>
              <w:widowControl/>
              <w:adjustRightInd/>
              <w:spacing w:line="240" w:lineRule="auto"/>
              <w:jc w:val="left"/>
              <w:textAlignment w:val="auto"/>
              <w:rPr>
                <w:rFonts w:cs="Arial"/>
                <w:b/>
                <w:bCs/>
                <w:szCs w:val="20"/>
              </w:rPr>
            </w:pPr>
            <w:r w:rsidRPr="00BE6A3C">
              <w:rPr>
                <w:rFonts w:cs="Arial"/>
                <w:b/>
                <w:bCs/>
                <w:szCs w:val="20"/>
              </w:rPr>
              <w:t xml:space="preserve">Roční daň </w:t>
            </w:r>
            <w:r w:rsidRPr="00BE6A3C">
              <w:rPr>
                <w:rFonts w:cs="Arial"/>
                <w:szCs w:val="20"/>
              </w:rPr>
              <w:t>(úhrn příjmu-pojistné-nezd.částka)</w:t>
            </w:r>
          </w:p>
        </w:tc>
        <w:tc>
          <w:tcPr>
            <w:tcW w:w="960" w:type="dxa"/>
            <w:tcBorders>
              <w:top w:val="nil"/>
              <w:left w:val="single" w:sz="4" w:space="0" w:color="auto"/>
              <w:bottom w:val="nil"/>
              <w:right w:val="single" w:sz="4" w:space="0" w:color="auto"/>
            </w:tcBorders>
            <w:shd w:val="clear" w:color="auto" w:fill="FFFF99"/>
            <w:noWrap/>
            <w:vAlign w:val="bottom"/>
          </w:tcPr>
          <w:p w:rsidR="00D60E25" w:rsidRPr="00BE6A3C" w:rsidRDefault="00D60E25" w:rsidP="00D60E25">
            <w:pPr>
              <w:widowControl/>
              <w:adjustRightInd/>
              <w:spacing w:line="240" w:lineRule="auto"/>
              <w:jc w:val="right"/>
              <w:textAlignment w:val="auto"/>
              <w:rPr>
                <w:rFonts w:cs="Arial"/>
                <w:szCs w:val="20"/>
              </w:rPr>
            </w:pPr>
            <w:r w:rsidRPr="00BE6A3C">
              <w:rPr>
                <w:rFonts w:cs="Arial"/>
                <w:szCs w:val="20"/>
              </w:rPr>
              <w:t>64 035</w:t>
            </w:r>
          </w:p>
        </w:tc>
      </w:tr>
      <w:tr w:rsidR="00D60E25" w:rsidRPr="00D60E25">
        <w:trPr>
          <w:trHeight w:val="255"/>
        </w:trPr>
        <w:tc>
          <w:tcPr>
            <w:tcW w:w="2940" w:type="dxa"/>
            <w:tcBorders>
              <w:top w:val="nil"/>
              <w:left w:val="single" w:sz="4" w:space="0" w:color="auto"/>
              <w:bottom w:val="nil"/>
              <w:right w:val="single" w:sz="4" w:space="0" w:color="auto"/>
            </w:tcBorders>
            <w:shd w:val="clear" w:color="auto" w:fill="FFFF99"/>
            <w:noWrap/>
            <w:vAlign w:val="bottom"/>
          </w:tcPr>
          <w:p w:rsidR="00D60E25" w:rsidRPr="00BE6A3C" w:rsidRDefault="00D60E25" w:rsidP="00D60E25">
            <w:pPr>
              <w:widowControl/>
              <w:adjustRightInd/>
              <w:spacing w:line="240" w:lineRule="auto"/>
              <w:jc w:val="left"/>
              <w:textAlignment w:val="auto"/>
              <w:rPr>
                <w:rFonts w:cs="Arial"/>
                <w:szCs w:val="20"/>
              </w:rPr>
            </w:pPr>
            <w:r w:rsidRPr="00BE6A3C">
              <w:rPr>
                <w:rFonts w:cs="Arial"/>
                <w:szCs w:val="20"/>
              </w:rPr>
              <w:t> </w:t>
            </w:r>
          </w:p>
        </w:tc>
        <w:tc>
          <w:tcPr>
            <w:tcW w:w="5540" w:type="dxa"/>
            <w:tcBorders>
              <w:top w:val="nil"/>
              <w:left w:val="nil"/>
              <w:bottom w:val="nil"/>
              <w:right w:val="nil"/>
            </w:tcBorders>
            <w:shd w:val="clear" w:color="auto" w:fill="FFFF99"/>
            <w:noWrap/>
            <w:vAlign w:val="bottom"/>
          </w:tcPr>
          <w:p w:rsidR="00D60E25" w:rsidRPr="00BE6A3C" w:rsidRDefault="00D60E25" w:rsidP="00D60E25">
            <w:pPr>
              <w:widowControl/>
              <w:adjustRightInd/>
              <w:spacing w:line="240" w:lineRule="auto"/>
              <w:jc w:val="left"/>
              <w:textAlignment w:val="auto"/>
              <w:rPr>
                <w:rFonts w:cs="Arial"/>
                <w:b/>
                <w:bCs/>
                <w:szCs w:val="20"/>
              </w:rPr>
            </w:pPr>
            <w:r w:rsidRPr="00BE6A3C">
              <w:rPr>
                <w:rFonts w:cs="Arial"/>
                <w:b/>
                <w:bCs/>
                <w:szCs w:val="20"/>
              </w:rPr>
              <w:t xml:space="preserve">Zaplacené zálohy </w:t>
            </w:r>
            <w:r w:rsidRPr="00BE6A3C">
              <w:rPr>
                <w:rFonts w:cs="Arial"/>
                <w:szCs w:val="20"/>
              </w:rPr>
              <w:t>(po slevě)</w:t>
            </w:r>
          </w:p>
        </w:tc>
        <w:tc>
          <w:tcPr>
            <w:tcW w:w="960" w:type="dxa"/>
            <w:tcBorders>
              <w:top w:val="nil"/>
              <w:left w:val="single" w:sz="4" w:space="0" w:color="auto"/>
              <w:bottom w:val="nil"/>
              <w:right w:val="single" w:sz="4" w:space="0" w:color="auto"/>
            </w:tcBorders>
            <w:shd w:val="clear" w:color="auto" w:fill="FFFF99"/>
            <w:noWrap/>
            <w:vAlign w:val="bottom"/>
          </w:tcPr>
          <w:p w:rsidR="00D60E25" w:rsidRPr="00BE6A3C" w:rsidRDefault="00D60E25" w:rsidP="00D60E25">
            <w:pPr>
              <w:widowControl/>
              <w:adjustRightInd/>
              <w:spacing w:line="240" w:lineRule="auto"/>
              <w:jc w:val="right"/>
              <w:textAlignment w:val="auto"/>
              <w:rPr>
                <w:rFonts w:cs="Arial"/>
                <w:szCs w:val="20"/>
              </w:rPr>
            </w:pPr>
            <w:r w:rsidRPr="00BE6A3C">
              <w:rPr>
                <w:rFonts w:cs="Arial"/>
                <w:szCs w:val="20"/>
              </w:rPr>
              <w:t>45 000</w:t>
            </w:r>
          </w:p>
        </w:tc>
      </w:tr>
      <w:tr w:rsidR="00D60E25" w:rsidRPr="00D60E25">
        <w:trPr>
          <w:trHeight w:val="255"/>
        </w:trPr>
        <w:tc>
          <w:tcPr>
            <w:tcW w:w="2940" w:type="dxa"/>
            <w:tcBorders>
              <w:top w:val="nil"/>
              <w:left w:val="single" w:sz="4" w:space="0" w:color="auto"/>
              <w:bottom w:val="nil"/>
              <w:right w:val="single" w:sz="4" w:space="0" w:color="auto"/>
            </w:tcBorders>
            <w:shd w:val="clear" w:color="auto" w:fill="FFFF99"/>
            <w:noWrap/>
            <w:vAlign w:val="bottom"/>
          </w:tcPr>
          <w:p w:rsidR="00D60E25" w:rsidRPr="00BE6A3C" w:rsidRDefault="00D60E25" w:rsidP="00D60E25">
            <w:pPr>
              <w:widowControl/>
              <w:adjustRightInd/>
              <w:spacing w:line="240" w:lineRule="auto"/>
              <w:jc w:val="left"/>
              <w:textAlignment w:val="auto"/>
              <w:rPr>
                <w:rFonts w:cs="Arial"/>
                <w:szCs w:val="20"/>
              </w:rPr>
            </w:pPr>
            <w:r w:rsidRPr="00BE6A3C">
              <w:rPr>
                <w:rFonts w:cs="Arial"/>
                <w:szCs w:val="20"/>
              </w:rPr>
              <w:t> </w:t>
            </w:r>
          </w:p>
        </w:tc>
        <w:tc>
          <w:tcPr>
            <w:tcW w:w="5540" w:type="dxa"/>
            <w:tcBorders>
              <w:top w:val="nil"/>
              <w:left w:val="nil"/>
              <w:bottom w:val="nil"/>
              <w:right w:val="nil"/>
            </w:tcBorders>
            <w:shd w:val="clear" w:color="auto" w:fill="FFFF99"/>
            <w:noWrap/>
            <w:vAlign w:val="bottom"/>
          </w:tcPr>
          <w:p w:rsidR="00D60E25" w:rsidRPr="00BE6A3C" w:rsidRDefault="00D60E25" w:rsidP="00D60E25">
            <w:pPr>
              <w:widowControl/>
              <w:adjustRightInd/>
              <w:spacing w:line="240" w:lineRule="auto"/>
              <w:jc w:val="left"/>
              <w:textAlignment w:val="auto"/>
              <w:rPr>
                <w:rFonts w:cs="Arial"/>
                <w:b/>
                <w:bCs/>
                <w:szCs w:val="20"/>
              </w:rPr>
            </w:pPr>
            <w:r w:rsidRPr="00BE6A3C">
              <w:rPr>
                <w:rFonts w:cs="Arial"/>
                <w:b/>
                <w:bCs/>
                <w:szCs w:val="20"/>
              </w:rPr>
              <w:t>Vyplaceno na bonusech</w:t>
            </w:r>
          </w:p>
        </w:tc>
        <w:tc>
          <w:tcPr>
            <w:tcW w:w="960" w:type="dxa"/>
            <w:tcBorders>
              <w:top w:val="nil"/>
              <w:left w:val="single" w:sz="4" w:space="0" w:color="auto"/>
              <w:bottom w:val="nil"/>
              <w:right w:val="single" w:sz="4" w:space="0" w:color="auto"/>
            </w:tcBorders>
            <w:shd w:val="clear" w:color="auto" w:fill="FFFF99"/>
            <w:noWrap/>
            <w:vAlign w:val="bottom"/>
          </w:tcPr>
          <w:p w:rsidR="00D60E25" w:rsidRPr="00BE6A3C" w:rsidRDefault="00D60E25" w:rsidP="00D60E25">
            <w:pPr>
              <w:widowControl/>
              <w:adjustRightInd/>
              <w:spacing w:line="240" w:lineRule="auto"/>
              <w:jc w:val="right"/>
              <w:textAlignment w:val="auto"/>
              <w:rPr>
                <w:rFonts w:cs="Arial"/>
                <w:szCs w:val="20"/>
              </w:rPr>
            </w:pPr>
            <w:r w:rsidRPr="00BE6A3C">
              <w:rPr>
                <w:rFonts w:cs="Arial"/>
                <w:szCs w:val="20"/>
              </w:rPr>
              <w:t>0</w:t>
            </w:r>
          </w:p>
        </w:tc>
      </w:tr>
      <w:tr w:rsidR="00D60E25" w:rsidRPr="00D60E25">
        <w:trPr>
          <w:trHeight w:val="255"/>
        </w:trPr>
        <w:tc>
          <w:tcPr>
            <w:tcW w:w="2940" w:type="dxa"/>
            <w:tcBorders>
              <w:top w:val="nil"/>
              <w:left w:val="single" w:sz="4" w:space="0" w:color="auto"/>
              <w:bottom w:val="single" w:sz="4" w:space="0" w:color="auto"/>
              <w:right w:val="single" w:sz="4" w:space="0" w:color="auto"/>
            </w:tcBorders>
            <w:shd w:val="clear" w:color="auto" w:fill="FFFF99"/>
            <w:noWrap/>
            <w:vAlign w:val="bottom"/>
          </w:tcPr>
          <w:p w:rsidR="00D60E25" w:rsidRPr="00BE6A3C" w:rsidRDefault="00D60E25" w:rsidP="00D60E25">
            <w:pPr>
              <w:widowControl/>
              <w:adjustRightInd/>
              <w:spacing w:line="240" w:lineRule="auto"/>
              <w:jc w:val="left"/>
              <w:textAlignment w:val="auto"/>
              <w:rPr>
                <w:rFonts w:cs="Arial"/>
                <w:szCs w:val="20"/>
              </w:rPr>
            </w:pPr>
            <w:r w:rsidRPr="00BE6A3C">
              <w:rPr>
                <w:rFonts w:cs="Arial"/>
                <w:szCs w:val="20"/>
              </w:rPr>
              <w:t> </w:t>
            </w:r>
          </w:p>
        </w:tc>
        <w:tc>
          <w:tcPr>
            <w:tcW w:w="5540" w:type="dxa"/>
            <w:tcBorders>
              <w:top w:val="nil"/>
              <w:left w:val="nil"/>
              <w:bottom w:val="single" w:sz="4" w:space="0" w:color="auto"/>
              <w:right w:val="nil"/>
            </w:tcBorders>
            <w:shd w:val="clear" w:color="auto" w:fill="FFFF99"/>
            <w:noWrap/>
            <w:vAlign w:val="bottom"/>
          </w:tcPr>
          <w:p w:rsidR="00D60E25" w:rsidRPr="00BE6A3C" w:rsidRDefault="00D60E25" w:rsidP="00D60E25">
            <w:pPr>
              <w:widowControl/>
              <w:adjustRightInd/>
              <w:spacing w:line="240" w:lineRule="auto"/>
              <w:jc w:val="left"/>
              <w:textAlignment w:val="auto"/>
              <w:rPr>
                <w:rFonts w:cs="Arial"/>
                <w:b/>
                <w:bCs/>
                <w:szCs w:val="20"/>
              </w:rPr>
            </w:pPr>
            <w:r w:rsidRPr="00BE6A3C">
              <w:rPr>
                <w:rFonts w:cs="Arial"/>
                <w:b/>
                <w:bCs/>
                <w:szCs w:val="20"/>
              </w:rPr>
              <w:t>Roční úhrn slevy na poplatníka - 35ba</w:t>
            </w:r>
          </w:p>
        </w:tc>
        <w:tc>
          <w:tcPr>
            <w:tcW w:w="960" w:type="dxa"/>
            <w:tcBorders>
              <w:top w:val="nil"/>
              <w:left w:val="single" w:sz="4" w:space="0" w:color="auto"/>
              <w:bottom w:val="single" w:sz="4" w:space="0" w:color="auto"/>
              <w:right w:val="single" w:sz="4" w:space="0" w:color="auto"/>
            </w:tcBorders>
            <w:shd w:val="clear" w:color="auto" w:fill="FFFF99"/>
            <w:noWrap/>
            <w:vAlign w:val="bottom"/>
          </w:tcPr>
          <w:p w:rsidR="00D60E25" w:rsidRPr="00BE6A3C" w:rsidRDefault="00D60E25" w:rsidP="00D60E25">
            <w:pPr>
              <w:widowControl/>
              <w:adjustRightInd/>
              <w:spacing w:line="240" w:lineRule="auto"/>
              <w:jc w:val="right"/>
              <w:textAlignment w:val="auto"/>
              <w:rPr>
                <w:rFonts w:cs="Arial"/>
                <w:szCs w:val="20"/>
              </w:rPr>
            </w:pPr>
            <w:r w:rsidRPr="00BE6A3C">
              <w:rPr>
                <w:rFonts w:cs="Arial"/>
                <w:szCs w:val="20"/>
              </w:rPr>
              <w:t>24 840</w:t>
            </w:r>
          </w:p>
        </w:tc>
      </w:tr>
      <w:tr w:rsidR="00D60E25" w:rsidRPr="00D60E25">
        <w:trPr>
          <w:trHeight w:val="255"/>
        </w:trPr>
        <w:tc>
          <w:tcPr>
            <w:tcW w:w="2940" w:type="dxa"/>
            <w:tcBorders>
              <w:top w:val="nil"/>
              <w:left w:val="single" w:sz="4" w:space="0" w:color="auto"/>
              <w:bottom w:val="nil"/>
              <w:right w:val="nil"/>
            </w:tcBorders>
            <w:shd w:val="clear" w:color="auto" w:fill="FFCC99"/>
            <w:noWrap/>
            <w:vAlign w:val="bottom"/>
          </w:tcPr>
          <w:p w:rsidR="00D60E25" w:rsidRPr="00BE6A3C" w:rsidRDefault="00D60E25" w:rsidP="00D60E25">
            <w:pPr>
              <w:widowControl/>
              <w:adjustRightInd/>
              <w:spacing w:line="240" w:lineRule="auto"/>
              <w:jc w:val="left"/>
              <w:textAlignment w:val="auto"/>
              <w:rPr>
                <w:rFonts w:cs="Arial"/>
                <w:szCs w:val="20"/>
              </w:rPr>
            </w:pPr>
            <w:r w:rsidRPr="00BE6A3C">
              <w:rPr>
                <w:rFonts w:cs="Arial"/>
                <w:szCs w:val="20"/>
              </w:rPr>
              <w:t> </w:t>
            </w:r>
          </w:p>
        </w:tc>
        <w:tc>
          <w:tcPr>
            <w:tcW w:w="5540" w:type="dxa"/>
            <w:tcBorders>
              <w:top w:val="nil"/>
              <w:left w:val="single" w:sz="4" w:space="0" w:color="auto"/>
              <w:bottom w:val="nil"/>
              <w:right w:val="nil"/>
            </w:tcBorders>
            <w:shd w:val="clear" w:color="auto" w:fill="FFCC99"/>
            <w:noWrap/>
            <w:vAlign w:val="bottom"/>
          </w:tcPr>
          <w:p w:rsidR="00D60E25" w:rsidRPr="00BE6A3C" w:rsidRDefault="00D60E25" w:rsidP="00D60E25">
            <w:pPr>
              <w:widowControl/>
              <w:adjustRightInd/>
              <w:spacing w:line="240" w:lineRule="auto"/>
              <w:jc w:val="left"/>
              <w:textAlignment w:val="auto"/>
              <w:rPr>
                <w:rFonts w:cs="Arial"/>
                <w:szCs w:val="20"/>
              </w:rPr>
            </w:pPr>
            <w:r w:rsidRPr="00BE6A3C">
              <w:rPr>
                <w:rFonts w:cs="Arial"/>
                <w:szCs w:val="20"/>
              </w:rPr>
              <w:t> </w:t>
            </w:r>
          </w:p>
        </w:tc>
        <w:tc>
          <w:tcPr>
            <w:tcW w:w="960" w:type="dxa"/>
            <w:tcBorders>
              <w:top w:val="nil"/>
              <w:left w:val="single" w:sz="4" w:space="0" w:color="auto"/>
              <w:bottom w:val="nil"/>
              <w:right w:val="single" w:sz="4" w:space="0" w:color="auto"/>
            </w:tcBorders>
            <w:shd w:val="clear" w:color="auto" w:fill="FFCC99"/>
            <w:noWrap/>
            <w:vAlign w:val="bottom"/>
          </w:tcPr>
          <w:p w:rsidR="00D60E25" w:rsidRPr="00BE6A3C" w:rsidRDefault="00D60E25" w:rsidP="00D60E25">
            <w:pPr>
              <w:widowControl/>
              <w:adjustRightInd/>
              <w:spacing w:line="240" w:lineRule="auto"/>
              <w:jc w:val="left"/>
              <w:textAlignment w:val="auto"/>
              <w:rPr>
                <w:rFonts w:cs="Arial"/>
                <w:szCs w:val="20"/>
              </w:rPr>
            </w:pPr>
            <w:r w:rsidRPr="00BE6A3C">
              <w:rPr>
                <w:rFonts w:cs="Arial"/>
                <w:szCs w:val="20"/>
              </w:rPr>
              <w:t> </w:t>
            </w:r>
          </w:p>
        </w:tc>
      </w:tr>
      <w:tr w:rsidR="00D60E25" w:rsidRPr="00D60E25">
        <w:trPr>
          <w:trHeight w:val="255"/>
        </w:trPr>
        <w:tc>
          <w:tcPr>
            <w:tcW w:w="2940" w:type="dxa"/>
            <w:tcBorders>
              <w:top w:val="nil"/>
              <w:left w:val="single" w:sz="4" w:space="0" w:color="auto"/>
              <w:bottom w:val="nil"/>
              <w:right w:val="nil"/>
            </w:tcBorders>
            <w:shd w:val="clear" w:color="auto" w:fill="FFCC99"/>
            <w:noWrap/>
            <w:vAlign w:val="bottom"/>
          </w:tcPr>
          <w:p w:rsidR="00D60E25" w:rsidRPr="00BE6A3C" w:rsidRDefault="00D60E25" w:rsidP="00D60E25">
            <w:pPr>
              <w:widowControl/>
              <w:adjustRightInd/>
              <w:spacing w:line="240" w:lineRule="auto"/>
              <w:jc w:val="left"/>
              <w:textAlignment w:val="auto"/>
              <w:rPr>
                <w:rFonts w:cs="Arial"/>
                <w:b/>
                <w:bCs/>
                <w:szCs w:val="20"/>
              </w:rPr>
            </w:pPr>
            <w:r w:rsidRPr="00BE6A3C">
              <w:rPr>
                <w:rFonts w:cs="Arial"/>
                <w:b/>
                <w:bCs/>
                <w:szCs w:val="20"/>
              </w:rPr>
              <w:t> </w:t>
            </w:r>
          </w:p>
        </w:tc>
        <w:tc>
          <w:tcPr>
            <w:tcW w:w="5540" w:type="dxa"/>
            <w:tcBorders>
              <w:top w:val="nil"/>
              <w:left w:val="single" w:sz="4" w:space="0" w:color="auto"/>
              <w:bottom w:val="nil"/>
              <w:right w:val="nil"/>
            </w:tcBorders>
            <w:shd w:val="clear" w:color="auto" w:fill="FFCC99"/>
            <w:noWrap/>
            <w:vAlign w:val="bottom"/>
          </w:tcPr>
          <w:p w:rsidR="00D60E25" w:rsidRPr="00BE6A3C" w:rsidRDefault="00D60E25" w:rsidP="00D60E25">
            <w:pPr>
              <w:widowControl/>
              <w:adjustRightInd/>
              <w:spacing w:line="240" w:lineRule="auto"/>
              <w:jc w:val="left"/>
              <w:textAlignment w:val="auto"/>
              <w:rPr>
                <w:rFonts w:cs="Arial"/>
                <w:b/>
                <w:bCs/>
                <w:szCs w:val="20"/>
              </w:rPr>
            </w:pPr>
            <w:r w:rsidRPr="00BE6A3C">
              <w:rPr>
                <w:rFonts w:cs="Arial"/>
                <w:b/>
                <w:bCs/>
                <w:szCs w:val="20"/>
              </w:rPr>
              <w:t>Roční daň</w:t>
            </w:r>
          </w:p>
        </w:tc>
        <w:tc>
          <w:tcPr>
            <w:tcW w:w="960" w:type="dxa"/>
            <w:tcBorders>
              <w:top w:val="nil"/>
              <w:left w:val="single" w:sz="4" w:space="0" w:color="auto"/>
              <w:bottom w:val="nil"/>
              <w:right w:val="single" w:sz="4" w:space="0" w:color="auto"/>
            </w:tcBorders>
            <w:shd w:val="clear" w:color="auto" w:fill="FFCC99"/>
            <w:noWrap/>
            <w:vAlign w:val="bottom"/>
          </w:tcPr>
          <w:p w:rsidR="00D60E25" w:rsidRPr="00BE6A3C" w:rsidRDefault="00D60E25" w:rsidP="00D60E25">
            <w:pPr>
              <w:widowControl/>
              <w:adjustRightInd/>
              <w:spacing w:line="240" w:lineRule="auto"/>
              <w:jc w:val="right"/>
              <w:textAlignment w:val="auto"/>
              <w:rPr>
                <w:rFonts w:cs="Arial"/>
                <w:szCs w:val="20"/>
              </w:rPr>
            </w:pPr>
            <w:r w:rsidRPr="00BE6A3C">
              <w:rPr>
                <w:rFonts w:cs="Arial"/>
                <w:szCs w:val="20"/>
              </w:rPr>
              <w:t>64 035</w:t>
            </w:r>
          </w:p>
        </w:tc>
      </w:tr>
      <w:tr w:rsidR="00D60E25" w:rsidRPr="00D60E25">
        <w:trPr>
          <w:trHeight w:val="255"/>
        </w:trPr>
        <w:tc>
          <w:tcPr>
            <w:tcW w:w="2940" w:type="dxa"/>
            <w:tcBorders>
              <w:top w:val="nil"/>
              <w:left w:val="single" w:sz="4" w:space="0" w:color="auto"/>
              <w:bottom w:val="nil"/>
              <w:right w:val="nil"/>
            </w:tcBorders>
            <w:shd w:val="clear" w:color="auto" w:fill="FFCC99"/>
            <w:noWrap/>
            <w:vAlign w:val="bottom"/>
          </w:tcPr>
          <w:p w:rsidR="00D60E25" w:rsidRPr="00BE6A3C" w:rsidRDefault="00D60E25" w:rsidP="00D60E25">
            <w:pPr>
              <w:widowControl/>
              <w:adjustRightInd/>
              <w:spacing w:line="240" w:lineRule="auto"/>
              <w:jc w:val="left"/>
              <w:textAlignment w:val="auto"/>
              <w:rPr>
                <w:rFonts w:cs="Arial"/>
                <w:b/>
                <w:bCs/>
                <w:szCs w:val="20"/>
              </w:rPr>
            </w:pPr>
            <w:r w:rsidRPr="00BE6A3C">
              <w:rPr>
                <w:rFonts w:cs="Arial"/>
                <w:b/>
                <w:bCs/>
                <w:szCs w:val="20"/>
              </w:rPr>
              <w:t> </w:t>
            </w:r>
          </w:p>
        </w:tc>
        <w:tc>
          <w:tcPr>
            <w:tcW w:w="5540" w:type="dxa"/>
            <w:tcBorders>
              <w:top w:val="nil"/>
              <w:left w:val="single" w:sz="4" w:space="0" w:color="auto"/>
              <w:bottom w:val="nil"/>
              <w:right w:val="nil"/>
            </w:tcBorders>
            <w:shd w:val="clear" w:color="auto" w:fill="FFCC99"/>
            <w:noWrap/>
            <w:vAlign w:val="bottom"/>
          </w:tcPr>
          <w:p w:rsidR="00D60E25" w:rsidRPr="00BE6A3C" w:rsidRDefault="00D60E25" w:rsidP="00D60E25">
            <w:pPr>
              <w:widowControl/>
              <w:adjustRightInd/>
              <w:spacing w:line="240" w:lineRule="auto"/>
              <w:jc w:val="left"/>
              <w:textAlignment w:val="auto"/>
              <w:rPr>
                <w:rFonts w:cs="Arial"/>
                <w:b/>
                <w:bCs/>
                <w:color w:val="FF0000"/>
                <w:szCs w:val="20"/>
              </w:rPr>
            </w:pPr>
            <w:r w:rsidRPr="00BE6A3C">
              <w:rPr>
                <w:rFonts w:cs="Arial"/>
                <w:b/>
                <w:bCs/>
                <w:color w:val="FF0000"/>
                <w:szCs w:val="20"/>
              </w:rPr>
              <w:t>Minus Sleva na dani dle par. 35ba</w:t>
            </w:r>
          </w:p>
        </w:tc>
        <w:tc>
          <w:tcPr>
            <w:tcW w:w="960" w:type="dxa"/>
            <w:tcBorders>
              <w:top w:val="nil"/>
              <w:left w:val="single" w:sz="4" w:space="0" w:color="auto"/>
              <w:bottom w:val="nil"/>
              <w:right w:val="single" w:sz="4" w:space="0" w:color="auto"/>
            </w:tcBorders>
            <w:shd w:val="clear" w:color="auto" w:fill="FFCC99"/>
            <w:noWrap/>
            <w:vAlign w:val="bottom"/>
          </w:tcPr>
          <w:p w:rsidR="00D60E25" w:rsidRPr="00BE6A3C" w:rsidRDefault="00D60E25" w:rsidP="00D60E25">
            <w:pPr>
              <w:widowControl/>
              <w:adjustRightInd/>
              <w:spacing w:line="240" w:lineRule="auto"/>
              <w:jc w:val="right"/>
              <w:textAlignment w:val="auto"/>
              <w:rPr>
                <w:rFonts w:cs="Arial"/>
                <w:szCs w:val="20"/>
              </w:rPr>
            </w:pPr>
            <w:r w:rsidRPr="00BE6A3C">
              <w:rPr>
                <w:rFonts w:cs="Arial"/>
                <w:szCs w:val="20"/>
              </w:rPr>
              <w:t>24 840</w:t>
            </w:r>
          </w:p>
        </w:tc>
      </w:tr>
      <w:tr w:rsidR="00D60E25" w:rsidRPr="00D60E25">
        <w:trPr>
          <w:trHeight w:val="255"/>
        </w:trPr>
        <w:tc>
          <w:tcPr>
            <w:tcW w:w="2940" w:type="dxa"/>
            <w:tcBorders>
              <w:top w:val="nil"/>
              <w:left w:val="single" w:sz="4" w:space="0" w:color="auto"/>
              <w:bottom w:val="nil"/>
              <w:right w:val="nil"/>
            </w:tcBorders>
            <w:shd w:val="clear" w:color="auto" w:fill="FFCC99"/>
            <w:noWrap/>
            <w:vAlign w:val="bottom"/>
          </w:tcPr>
          <w:p w:rsidR="00D60E25" w:rsidRPr="00BE6A3C" w:rsidRDefault="00D60E25" w:rsidP="00D60E25">
            <w:pPr>
              <w:widowControl/>
              <w:adjustRightInd/>
              <w:spacing w:line="240" w:lineRule="auto"/>
              <w:jc w:val="left"/>
              <w:textAlignment w:val="auto"/>
              <w:rPr>
                <w:rFonts w:cs="Arial"/>
                <w:b/>
                <w:bCs/>
                <w:szCs w:val="20"/>
              </w:rPr>
            </w:pPr>
            <w:r w:rsidRPr="00BE6A3C">
              <w:rPr>
                <w:rFonts w:cs="Arial"/>
                <w:b/>
                <w:bCs/>
                <w:szCs w:val="20"/>
              </w:rPr>
              <w:t>Zúčtování daně po slevě</w:t>
            </w:r>
          </w:p>
        </w:tc>
        <w:tc>
          <w:tcPr>
            <w:tcW w:w="5540" w:type="dxa"/>
            <w:tcBorders>
              <w:top w:val="nil"/>
              <w:left w:val="single" w:sz="4" w:space="0" w:color="auto"/>
              <w:bottom w:val="nil"/>
              <w:right w:val="nil"/>
            </w:tcBorders>
            <w:shd w:val="clear" w:color="auto" w:fill="FFCC99"/>
            <w:noWrap/>
            <w:vAlign w:val="bottom"/>
          </w:tcPr>
          <w:p w:rsidR="00D60E25" w:rsidRPr="00BE6A3C" w:rsidRDefault="00D60E25" w:rsidP="00D60E25">
            <w:pPr>
              <w:widowControl/>
              <w:adjustRightInd/>
              <w:spacing w:line="240" w:lineRule="auto"/>
              <w:jc w:val="left"/>
              <w:textAlignment w:val="auto"/>
              <w:rPr>
                <w:rFonts w:cs="Arial"/>
                <w:b/>
                <w:bCs/>
                <w:szCs w:val="20"/>
              </w:rPr>
            </w:pPr>
            <w:r w:rsidRPr="00BE6A3C">
              <w:rPr>
                <w:rFonts w:cs="Arial"/>
                <w:b/>
                <w:bCs/>
                <w:szCs w:val="20"/>
              </w:rPr>
              <w:t>Roční daň po slevě podle par. 35ba</w:t>
            </w:r>
          </w:p>
        </w:tc>
        <w:tc>
          <w:tcPr>
            <w:tcW w:w="960" w:type="dxa"/>
            <w:tcBorders>
              <w:top w:val="nil"/>
              <w:left w:val="single" w:sz="4" w:space="0" w:color="auto"/>
              <w:bottom w:val="nil"/>
              <w:right w:val="single" w:sz="4" w:space="0" w:color="auto"/>
            </w:tcBorders>
            <w:shd w:val="clear" w:color="auto" w:fill="FFCC99"/>
            <w:noWrap/>
            <w:vAlign w:val="bottom"/>
          </w:tcPr>
          <w:p w:rsidR="00D60E25" w:rsidRPr="00BE6A3C" w:rsidRDefault="00D60E25" w:rsidP="00D60E25">
            <w:pPr>
              <w:widowControl/>
              <w:adjustRightInd/>
              <w:spacing w:line="240" w:lineRule="auto"/>
              <w:jc w:val="right"/>
              <w:textAlignment w:val="auto"/>
              <w:rPr>
                <w:rFonts w:cs="Arial"/>
                <w:b/>
                <w:bCs/>
                <w:szCs w:val="20"/>
              </w:rPr>
            </w:pPr>
            <w:r w:rsidRPr="00BE6A3C">
              <w:rPr>
                <w:rFonts w:cs="Arial"/>
                <w:b/>
                <w:bCs/>
                <w:szCs w:val="20"/>
              </w:rPr>
              <w:t>39 195</w:t>
            </w:r>
          </w:p>
        </w:tc>
      </w:tr>
      <w:tr w:rsidR="00D60E25" w:rsidRPr="00D60E25">
        <w:trPr>
          <w:trHeight w:val="255"/>
        </w:trPr>
        <w:tc>
          <w:tcPr>
            <w:tcW w:w="2940" w:type="dxa"/>
            <w:tcBorders>
              <w:top w:val="nil"/>
              <w:left w:val="single" w:sz="4" w:space="0" w:color="auto"/>
              <w:bottom w:val="nil"/>
              <w:right w:val="nil"/>
            </w:tcBorders>
            <w:shd w:val="clear" w:color="auto" w:fill="FFCC99"/>
            <w:noWrap/>
            <w:vAlign w:val="bottom"/>
          </w:tcPr>
          <w:p w:rsidR="00D60E25" w:rsidRPr="00BE6A3C" w:rsidRDefault="00D60E25" w:rsidP="00D60E25">
            <w:pPr>
              <w:widowControl/>
              <w:adjustRightInd/>
              <w:spacing w:line="240" w:lineRule="auto"/>
              <w:jc w:val="left"/>
              <w:textAlignment w:val="auto"/>
              <w:rPr>
                <w:rFonts w:cs="Arial"/>
                <w:b/>
                <w:bCs/>
                <w:szCs w:val="20"/>
              </w:rPr>
            </w:pPr>
            <w:r w:rsidRPr="00BE6A3C">
              <w:rPr>
                <w:rFonts w:cs="Arial"/>
                <w:b/>
                <w:bCs/>
                <w:szCs w:val="20"/>
              </w:rPr>
              <w:t> </w:t>
            </w:r>
          </w:p>
        </w:tc>
        <w:tc>
          <w:tcPr>
            <w:tcW w:w="5540" w:type="dxa"/>
            <w:tcBorders>
              <w:top w:val="nil"/>
              <w:left w:val="single" w:sz="4" w:space="0" w:color="auto"/>
              <w:bottom w:val="nil"/>
              <w:right w:val="nil"/>
            </w:tcBorders>
            <w:shd w:val="clear" w:color="auto" w:fill="FFCC99"/>
            <w:noWrap/>
            <w:vAlign w:val="bottom"/>
          </w:tcPr>
          <w:p w:rsidR="00D60E25" w:rsidRPr="00BE6A3C" w:rsidRDefault="00D60E25" w:rsidP="00D60E25">
            <w:pPr>
              <w:widowControl/>
              <w:adjustRightInd/>
              <w:spacing w:line="240" w:lineRule="auto"/>
              <w:jc w:val="left"/>
              <w:textAlignment w:val="auto"/>
              <w:rPr>
                <w:rFonts w:cs="Arial"/>
                <w:b/>
                <w:bCs/>
                <w:color w:val="FF0000"/>
                <w:szCs w:val="20"/>
              </w:rPr>
            </w:pPr>
            <w:r w:rsidRPr="00BE6A3C">
              <w:rPr>
                <w:rFonts w:cs="Arial"/>
                <w:b/>
                <w:bCs/>
                <w:color w:val="FF0000"/>
                <w:szCs w:val="20"/>
              </w:rPr>
              <w:t>Minus Sleva na dani dle par. 35c</w:t>
            </w:r>
          </w:p>
        </w:tc>
        <w:tc>
          <w:tcPr>
            <w:tcW w:w="960" w:type="dxa"/>
            <w:tcBorders>
              <w:top w:val="nil"/>
              <w:left w:val="single" w:sz="4" w:space="0" w:color="auto"/>
              <w:bottom w:val="nil"/>
              <w:right w:val="single" w:sz="4" w:space="0" w:color="auto"/>
            </w:tcBorders>
            <w:shd w:val="clear" w:color="auto" w:fill="FFCC99"/>
            <w:noWrap/>
            <w:vAlign w:val="bottom"/>
          </w:tcPr>
          <w:p w:rsidR="00D60E25" w:rsidRPr="00BE6A3C" w:rsidRDefault="00D60E25" w:rsidP="00D60E25">
            <w:pPr>
              <w:widowControl/>
              <w:adjustRightInd/>
              <w:spacing w:line="240" w:lineRule="auto"/>
              <w:jc w:val="right"/>
              <w:textAlignment w:val="auto"/>
              <w:rPr>
                <w:rFonts w:cs="Arial"/>
                <w:szCs w:val="20"/>
              </w:rPr>
            </w:pPr>
            <w:r w:rsidRPr="00BE6A3C">
              <w:rPr>
                <w:rFonts w:cs="Arial"/>
                <w:szCs w:val="20"/>
              </w:rPr>
              <w:t>0</w:t>
            </w:r>
          </w:p>
        </w:tc>
      </w:tr>
      <w:tr w:rsidR="00D60E25" w:rsidRPr="00D60E25">
        <w:trPr>
          <w:trHeight w:val="255"/>
        </w:trPr>
        <w:tc>
          <w:tcPr>
            <w:tcW w:w="2940" w:type="dxa"/>
            <w:tcBorders>
              <w:top w:val="nil"/>
              <w:left w:val="single" w:sz="4" w:space="0" w:color="auto"/>
              <w:bottom w:val="nil"/>
              <w:right w:val="nil"/>
            </w:tcBorders>
            <w:shd w:val="clear" w:color="auto" w:fill="FFCC99"/>
            <w:noWrap/>
            <w:vAlign w:val="bottom"/>
          </w:tcPr>
          <w:p w:rsidR="00D60E25" w:rsidRPr="00BE6A3C" w:rsidRDefault="00D60E25" w:rsidP="00D60E25">
            <w:pPr>
              <w:widowControl/>
              <w:adjustRightInd/>
              <w:spacing w:line="240" w:lineRule="auto"/>
              <w:jc w:val="left"/>
              <w:textAlignment w:val="auto"/>
              <w:rPr>
                <w:rFonts w:cs="Arial"/>
                <w:b/>
                <w:bCs/>
                <w:szCs w:val="20"/>
              </w:rPr>
            </w:pPr>
            <w:r w:rsidRPr="00BE6A3C">
              <w:rPr>
                <w:rFonts w:cs="Arial"/>
                <w:b/>
                <w:bCs/>
                <w:szCs w:val="20"/>
              </w:rPr>
              <w:t> </w:t>
            </w:r>
          </w:p>
        </w:tc>
        <w:tc>
          <w:tcPr>
            <w:tcW w:w="5540" w:type="dxa"/>
            <w:tcBorders>
              <w:top w:val="nil"/>
              <w:left w:val="single" w:sz="4" w:space="0" w:color="auto"/>
              <w:bottom w:val="nil"/>
              <w:right w:val="nil"/>
            </w:tcBorders>
            <w:shd w:val="clear" w:color="auto" w:fill="FFCC99"/>
            <w:noWrap/>
            <w:vAlign w:val="bottom"/>
          </w:tcPr>
          <w:p w:rsidR="00D60E25" w:rsidRPr="00BE6A3C" w:rsidRDefault="00BE6A3C" w:rsidP="00D60E25">
            <w:pPr>
              <w:widowControl/>
              <w:adjustRightInd/>
              <w:spacing w:line="240" w:lineRule="auto"/>
              <w:jc w:val="left"/>
              <w:textAlignment w:val="auto"/>
              <w:rPr>
                <w:rFonts w:cs="Arial"/>
                <w:b/>
                <w:bCs/>
                <w:szCs w:val="20"/>
              </w:rPr>
            </w:pPr>
            <w:r w:rsidRPr="00BE6A3C">
              <w:rPr>
                <w:rFonts w:cs="Arial"/>
                <w:b/>
                <w:bCs/>
                <w:szCs w:val="20"/>
              </w:rPr>
              <w:t>Roční</w:t>
            </w:r>
            <w:r w:rsidR="00D60E25" w:rsidRPr="00BE6A3C">
              <w:rPr>
                <w:rFonts w:cs="Arial"/>
                <w:b/>
                <w:bCs/>
                <w:szCs w:val="20"/>
              </w:rPr>
              <w:t xml:space="preserve"> daň po slevě podle par. 35ba a 35c</w:t>
            </w:r>
          </w:p>
        </w:tc>
        <w:tc>
          <w:tcPr>
            <w:tcW w:w="960" w:type="dxa"/>
            <w:tcBorders>
              <w:top w:val="nil"/>
              <w:left w:val="single" w:sz="4" w:space="0" w:color="auto"/>
              <w:bottom w:val="nil"/>
              <w:right w:val="single" w:sz="4" w:space="0" w:color="auto"/>
            </w:tcBorders>
            <w:shd w:val="clear" w:color="auto" w:fill="FFCC99"/>
            <w:noWrap/>
            <w:vAlign w:val="bottom"/>
          </w:tcPr>
          <w:p w:rsidR="00D60E25" w:rsidRPr="00BE6A3C" w:rsidRDefault="00D60E25" w:rsidP="00D60E25">
            <w:pPr>
              <w:widowControl/>
              <w:adjustRightInd/>
              <w:spacing w:line="240" w:lineRule="auto"/>
              <w:jc w:val="right"/>
              <w:textAlignment w:val="auto"/>
              <w:rPr>
                <w:rFonts w:cs="Arial"/>
                <w:szCs w:val="20"/>
              </w:rPr>
            </w:pPr>
            <w:r w:rsidRPr="00BE6A3C">
              <w:rPr>
                <w:rFonts w:cs="Arial"/>
                <w:szCs w:val="20"/>
              </w:rPr>
              <w:t>39 195</w:t>
            </w:r>
          </w:p>
        </w:tc>
      </w:tr>
      <w:tr w:rsidR="00D60E25" w:rsidRPr="00D60E25">
        <w:trPr>
          <w:trHeight w:val="255"/>
        </w:trPr>
        <w:tc>
          <w:tcPr>
            <w:tcW w:w="2940" w:type="dxa"/>
            <w:tcBorders>
              <w:top w:val="nil"/>
              <w:left w:val="single" w:sz="4" w:space="0" w:color="auto"/>
              <w:bottom w:val="nil"/>
              <w:right w:val="nil"/>
            </w:tcBorders>
            <w:shd w:val="clear" w:color="auto" w:fill="FFCC99"/>
            <w:noWrap/>
            <w:vAlign w:val="bottom"/>
          </w:tcPr>
          <w:p w:rsidR="00D60E25" w:rsidRPr="00BE6A3C" w:rsidRDefault="00D60E25" w:rsidP="00D60E25">
            <w:pPr>
              <w:widowControl/>
              <w:adjustRightInd/>
              <w:spacing w:line="240" w:lineRule="auto"/>
              <w:jc w:val="left"/>
              <w:textAlignment w:val="auto"/>
              <w:rPr>
                <w:rFonts w:cs="Arial"/>
                <w:b/>
                <w:bCs/>
                <w:szCs w:val="20"/>
              </w:rPr>
            </w:pPr>
            <w:r w:rsidRPr="00BE6A3C">
              <w:rPr>
                <w:rFonts w:cs="Arial"/>
                <w:b/>
                <w:bCs/>
                <w:szCs w:val="20"/>
              </w:rPr>
              <w:t> </w:t>
            </w:r>
          </w:p>
        </w:tc>
        <w:tc>
          <w:tcPr>
            <w:tcW w:w="5540" w:type="dxa"/>
            <w:tcBorders>
              <w:top w:val="nil"/>
              <w:left w:val="single" w:sz="4" w:space="0" w:color="auto"/>
              <w:bottom w:val="nil"/>
              <w:right w:val="nil"/>
            </w:tcBorders>
            <w:shd w:val="clear" w:color="auto" w:fill="FFCC99"/>
            <w:noWrap/>
            <w:vAlign w:val="bottom"/>
          </w:tcPr>
          <w:p w:rsidR="00D60E25" w:rsidRPr="00BE6A3C" w:rsidRDefault="00D60E25" w:rsidP="00D60E25">
            <w:pPr>
              <w:widowControl/>
              <w:adjustRightInd/>
              <w:spacing w:line="240" w:lineRule="auto"/>
              <w:jc w:val="left"/>
              <w:textAlignment w:val="auto"/>
              <w:rPr>
                <w:rFonts w:cs="Arial"/>
                <w:b/>
                <w:bCs/>
                <w:szCs w:val="20"/>
              </w:rPr>
            </w:pPr>
            <w:r w:rsidRPr="00BE6A3C">
              <w:rPr>
                <w:rFonts w:cs="Arial"/>
                <w:b/>
                <w:bCs/>
                <w:szCs w:val="20"/>
              </w:rPr>
              <w:t>Zaplacené zálohy</w:t>
            </w:r>
          </w:p>
        </w:tc>
        <w:tc>
          <w:tcPr>
            <w:tcW w:w="960" w:type="dxa"/>
            <w:tcBorders>
              <w:top w:val="nil"/>
              <w:left w:val="single" w:sz="4" w:space="0" w:color="auto"/>
              <w:bottom w:val="nil"/>
              <w:right w:val="single" w:sz="4" w:space="0" w:color="auto"/>
            </w:tcBorders>
            <w:shd w:val="clear" w:color="auto" w:fill="FFCC99"/>
            <w:noWrap/>
            <w:vAlign w:val="bottom"/>
          </w:tcPr>
          <w:p w:rsidR="00D60E25" w:rsidRPr="00BE6A3C" w:rsidRDefault="00D60E25" w:rsidP="00D60E25">
            <w:pPr>
              <w:widowControl/>
              <w:adjustRightInd/>
              <w:spacing w:line="240" w:lineRule="auto"/>
              <w:jc w:val="right"/>
              <w:textAlignment w:val="auto"/>
              <w:rPr>
                <w:rFonts w:cs="Arial"/>
                <w:szCs w:val="20"/>
              </w:rPr>
            </w:pPr>
            <w:r w:rsidRPr="00BE6A3C">
              <w:rPr>
                <w:rFonts w:cs="Arial"/>
                <w:szCs w:val="20"/>
              </w:rPr>
              <w:t>45 000</w:t>
            </w:r>
          </w:p>
        </w:tc>
      </w:tr>
      <w:tr w:rsidR="00D60E25" w:rsidRPr="00D60E25">
        <w:trPr>
          <w:trHeight w:val="255"/>
        </w:trPr>
        <w:tc>
          <w:tcPr>
            <w:tcW w:w="2940" w:type="dxa"/>
            <w:tcBorders>
              <w:top w:val="nil"/>
              <w:left w:val="single" w:sz="4" w:space="0" w:color="auto"/>
              <w:bottom w:val="single" w:sz="4" w:space="0" w:color="auto"/>
              <w:right w:val="nil"/>
            </w:tcBorders>
            <w:shd w:val="clear" w:color="auto" w:fill="FFCC99"/>
            <w:noWrap/>
            <w:vAlign w:val="bottom"/>
          </w:tcPr>
          <w:p w:rsidR="00D60E25" w:rsidRPr="00BE6A3C" w:rsidRDefault="00D60E25" w:rsidP="00D60E25">
            <w:pPr>
              <w:widowControl/>
              <w:adjustRightInd/>
              <w:spacing w:line="240" w:lineRule="auto"/>
              <w:jc w:val="left"/>
              <w:textAlignment w:val="auto"/>
              <w:rPr>
                <w:rFonts w:cs="Arial"/>
                <w:b/>
                <w:bCs/>
                <w:szCs w:val="20"/>
              </w:rPr>
            </w:pPr>
            <w:r w:rsidRPr="00BE6A3C">
              <w:rPr>
                <w:rFonts w:cs="Arial"/>
                <w:b/>
                <w:bCs/>
                <w:szCs w:val="20"/>
              </w:rPr>
              <w:t> </w:t>
            </w:r>
          </w:p>
        </w:tc>
        <w:tc>
          <w:tcPr>
            <w:tcW w:w="5540" w:type="dxa"/>
            <w:tcBorders>
              <w:top w:val="nil"/>
              <w:left w:val="single" w:sz="4" w:space="0" w:color="auto"/>
              <w:bottom w:val="single" w:sz="4" w:space="0" w:color="auto"/>
              <w:right w:val="single" w:sz="4" w:space="0" w:color="auto"/>
            </w:tcBorders>
            <w:shd w:val="clear" w:color="auto" w:fill="FFCC99"/>
            <w:noWrap/>
            <w:vAlign w:val="bottom"/>
          </w:tcPr>
          <w:p w:rsidR="00D60E25" w:rsidRPr="00BE6A3C" w:rsidRDefault="00D60E25" w:rsidP="00D60E25">
            <w:pPr>
              <w:widowControl/>
              <w:adjustRightInd/>
              <w:spacing w:line="240" w:lineRule="auto"/>
              <w:jc w:val="left"/>
              <w:textAlignment w:val="auto"/>
              <w:rPr>
                <w:rFonts w:cs="Arial"/>
                <w:b/>
                <w:bCs/>
                <w:szCs w:val="20"/>
              </w:rPr>
            </w:pPr>
            <w:r w:rsidRPr="00BE6A3C">
              <w:rPr>
                <w:rFonts w:cs="Arial"/>
                <w:b/>
                <w:bCs/>
                <w:szCs w:val="20"/>
              </w:rPr>
              <w:t>Rozdíl na zúčtování záloh</w:t>
            </w:r>
          </w:p>
        </w:tc>
        <w:tc>
          <w:tcPr>
            <w:tcW w:w="960" w:type="dxa"/>
            <w:tcBorders>
              <w:top w:val="nil"/>
              <w:left w:val="nil"/>
              <w:bottom w:val="single" w:sz="4" w:space="0" w:color="auto"/>
              <w:right w:val="single" w:sz="4" w:space="0" w:color="auto"/>
            </w:tcBorders>
            <w:shd w:val="clear" w:color="auto" w:fill="FFCC99"/>
            <w:noWrap/>
            <w:vAlign w:val="bottom"/>
          </w:tcPr>
          <w:p w:rsidR="00D60E25" w:rsidRPr="00BE6A3C" w:rsidRDefault="00D60E25" w:rsidP="00D60E25">
            <w:pPr>
              <w:widowControl/>
              <w:adjustRightInd/>
              <w:spacing w:line="240" w:lineRule="auto"/>
              <w:jc w:val="right"/>
              <w:textAlignment w:val="auto"/>
              <w:rPr>
                <w:rFonts w:cs="Arial"/>
                <w:szCs w:val="20"/>
              </w:rPr>
            </w:pPr>
            <w:r w:rsidRPr="00BE6A3C">
              <w:rPr>
                <w:rFonts w:cs="Arial"/>
                <w:szCs w:val="20"/>
              </w:rPr>
              <w:t>5 805</w:t>
            </w:r>
          </w:p>
        </w:tc>
      </w:tr>
      <w:tr w:rsidR="00D60E25" w:rsidRPr="00D60E25">
        <w:trPr>
          <w:trHeight w:val="255"/>
        </w:trPr>
        <w:tc>
          <w:tcPr>
            <w:tcW w:w="2940" w:type="dxa"/>
            <w:tcBorders>
              <w:top w:val="nil"/>
              <w:left w:val="single" w:sz="4" w:space="0" w:color="auto"/>
              <w:bottom w:val="nil"/>
              <w:right w:val="nil"/>
            </w:tcBorders>
            <w:shd w:val="clear" w:color="auto" w:fill="FFFF00"/>
            <w:noWrap/>
            <w:vAlign w:val="bottom"/>
          </w:tcPr>
          <w:p w:rsidR="00D60E25" w:rsidRPr="00BE6A3C" w:rsidRDefault="00D60E25" w:rsidP="00D60E25">
            <w:pPr>
              <w:widowControl/>
              <w:adjustRightInd/>
              <w:spacing w:line="240" w:lineRule="auto"/>
              <w:jc w:val="left"/>
              <w:textAlignment w:val="auto"/>
              <w:rPr>
                <w:rFonts w:cs="Arial"/>
                <w:szCs w:val="20"/>
              </w:rPr>
            </w:pPr>
            <w:r w:rsidRPr="00BE6A3C">
              <w:rPr>
                <w:rFonts w:cs="Arial"/>
                <w:szCs w:val="20"/>
              </w:rPr>
              <w:t> </w:t>
            </w:r>
          </w:p>
        </w:tc>
        <w:tc>
          <w:tcPr>
            <w:tcW w:w="5540" w:type="dxa"/>
            <w:tcBorders>
              <w:top w:val="nil"/>
              <w:left w:val="single" w:sz="4" w:space="0" w:color="auto"/>
              <w:bottom w:val="nil"/>
              <w:right w:val="nil"/>
            </w:tcBorders>
            <w:shd w:val="clear" w:color="auto" w:fill="FFFF00"/>
            <w:noWrap/>
            <w:vAlign w:val="bottom"/>
          </w:tcPr>
          <w:p w:rsidR="00D60E25" w:rsidRPr="00BE6A3C" w:rsidRDefault="00D60E25" w:rsidP="00D60E25">
            <w:pPr>
              <w:widowControl/>
              <w:adjustRightInd/>
              <w:spacing w:line="240" w:lineRule="auto"/>
              <w:jc w:val="left"/>
              <w:textAlignment w:val="auto"/>
              <w:rPr>
                <w:rFonts w:cs="Arial"/>
                <w:szCs w:val="20"/>
              </w:rPr>
            </w:pPr>
            <w:r w:rsidRPr="00BE6A3C">
              <w:rPr>
                <w:rFonts w:cs="Arial"/>
                <w:szCs w:val="20"/>
              </w:rPr>
              <w:t> </w:t>
            </w:r>
          </w:p>
        </w:tc>
        <w:tc>
          <w:tcPr>
            <w:tcW w:w="960" w:type="dxa"/>
            <w:tcBorders>
              <w:top w:val="nil"/>
              <w:left w:val="single" w:sz="4" w:space="0" w:color="auto"/>
              <w:bottom w:val="nil"/>
              <w:right w:val="single" w:sz="4" w:space="0" w:color="auto"/>
            </w:tcBorders>
            <w:shd w:val="clear" w:color="auto" w:fill="FFFF00"/>
            <w:noWrap/>
            <w:vAlign w:val="bottom"/>
          </w:tcPr>
          <w:p w:rsidR="00D60E25" w:rsidRPr="00BE6A3C" w:rsidRDefault="00D60E25" w:rsidP="00D60E25">
            <w:pPr>
              <w:widowControl/>
              <w:adjustRightInd/>
              <w:spacing w:line="240" w:lineRule="auto"/>
              <w:jc w:val="left"/>
              <w:textAlignment w:val="auto"/>
              <w:rPr>
                <w:rFonts w:cs="Arial"/>
                <w:szCs w:val="20"/>
              </w:rPr>
            </w:pPr>
            <w:r w:rsidRPr="00BE6A3C">
              <w:rPr>
                <w:rFonts w:cs="Arial"/>
                <w:szCs w:val="20"/>
              </w:rPr>
              <w:t> </w:t>
            </w:r>
          </w:p>
        </w:tc>
      </w:tr>
      <w:tr w:rsidR="00D60E25" w:rsidRPr="00D60E25">
        <w:trPr>
          <w:trHeight w:val="255"/>
        </w:trPr>
        <w:tc>
          <w:tcPr>
            <w:tcW w:w="2940" w:type="dxa"/>
            <w:tcBorders>
              <w:top w:val="nil"/>
              <w:left w:val="single" w:sz="4" w:space="0" w:color="auto"/>
              <w:bottom w:val="nil"/>
              <w:right w:val="nil"/>
            </w:tcBorders>
            <w:shd w:val="clear" w:color="auto" w:fill="FFFF00"/>
            <w:noWrap/>
            <w:vAlign w:val="bottom"/>
          </w:tcPr>
          <w:p w:rsidR="00D60E25" w:rsidRPr="00BE6A3C" w:rsidRDefault="00D60E25" w:rsidP="00D60E25">
            <w:pPr>
              <w:widowControl/>
              <w:adjustRightInd/>
              <w:spacing w:line="240" w:lineRule="auto"/>
              <w:jc w:val="left"/>
              <w:textAlignment w:val="auto"/>
              <w:rPr>
                <w:rFonts w:cs="Arial"/>
                <w:b/>
                <w:bCs/>
                <w:szCs w:val="20"/>
              </w:rPr>
            </w:pPr>
            <w:r w:rsidRPr="00BE6A3C">
              <w:rPr>
                <w:rFonts w:cs="Arial"/>
                <w:b/>
                <w:bCs/>
                <w:szCs w:val="20"/>
              </w:rPr>
              <w:t> </w:t>
            </w:r>
          </w:p>
        </w:tc>
        <w:tc>
          <w:tcPr>
            <w:tcW w:w="5540" w:type="dxa"/>
            <w:tcBorders>
              <w:top w:val="nil"/>
              <w:left w:val="single" w:sz="4" w:space="0" w:color="auto"/>
              <w:bottom w:val="nil"/>
              <w:right w:val="nil"/>
            </w:tcBorders>
            <w:shd w:val="clear" w:color="auto" w:fill="FFFF00"/>
            <w:noWrap/>
            <w:vAlign w:val="bottom"/>
          </w:tcPr>
          <w:p w:rsidR="00D60E25" w:rsidRPr="00BE6A3C" w:rsidRDefault="00D60E25" w:rsidP="00D60E25">
            <w:pPr>
              <w:widowControl/>
              <w:adjustRightInd/>
              <w:spacing w:line="240" w:lineRule="auto"/>
              <w:jc w:val="left"/>
              <w:textAlignment w:val="auto"/>
              <w:rPr>
                <w:rFonts w:cs="Arial"/>
                <w:b/>
                <w:bCs/>
                <w:szCs w:val="20"/>
              </w:rPr>
            </w:pPr>
            <w:r w:rsidRPr="00BE6A3C">
              <w:rPr>
                <w:rFonts w:cs="Arial"/>
                <w:b/>
                <w:bCs/>
                <w:szCs w:val="20"/>
              </w:rPr>
              <w:t>Nárok na daňové zvýhodnění</w:t>
            </w:r>
          </w:p>
        </w:tc>
        <w:tc>
          <w:tcPr>
            <w:tcW w:w="960" w:type="dxa"/>
            <w:tcBorders>
              <w:top w:val="nil"/>
              <w:left w:val="single" w:sz="4" w:space="0" w:color="auto"/>
              <w:bottom w:val="nil"/>
              <w:right w:val="single" w:sz="4" w:space="0" w:color="auto"/>
            </w:tcBorders>
            <w:shd w:val="clear" w:color="auto" w:fill="FFFF00"/>
            <w:noWrap/>
            <w:vAlign w:val="bottom"/>
          </w:tcPr>
          <w:p w:rsidR="00D60E25" w:rsidRPr="00BE6A3C" w:rsidRDefault="00D60E25" w:rsidP="00D60E25">
            <w:pPr>
              <w:widowControl/>
              <w:adjustRightInd/>
              <w:spacing w:line="240" w:lineRule="auto"/>
              <w:jc w:val="right"/>
              <w:textAlignment w:val="auto"/>
              <w:rPr>
                <w:rFonts w:cs="Arial"/>
                <w:szCs w:val="20"/>
              </w:rPr>
            </w:pPr>
            <w:r w:rsidRPr="00BE6A3C">
              <w:rPr>
                <w:rFonts w:cs="Arial"/>
                <w:szCs w:val="20"/>
              </w:rPr>
              <w:t>0</w:t>
            </w:r>
          </w:p>
        </w:tc>
      </w:tr>
      <w:tr w:rsidR="00D60E25" w:rsidRPr="00D60E25">
        <w:trPr>
          <w:trHeight w:val="255"/>
        </w:trPr>
        <w:tc>
          <w:tcPr>
            <w:tcW w:w="2940" w:type="dxa"/>
            <w:tcBorders>
              <w:top w:val="nil"/>
              <w:left w:val="single" w:sz="4" w:space="0" w:color="auto"/>
              <w:bottom w:val="nil"/>
              <w:right w:val="nil"/>
            </w:tcBorders>
            <w:shd w:val="clear" w:color="auto" w:fill="FFFF00"/>
            <w:noWrap/>
            <w:vAlign w:val="bottom"/>
          </w:tcPr>
          <w:p w:rsidR="00D60E25" w:rsidRPr="00BE6A3C" w:rsidRDefault="00D60E25" w:rsidP="00D60E25">
            <w:pPr>
              <w:widowControl/>
              <w:adjustRightInd/>
              <w:spacing w:line="240" w:lineRule="auto"/>
              <w:jc w:val="left"/>
              <w:textAlignment w:val="auto"/>
              <w:rPr>
                <w:rFonts w:cs="Arial"/>
                <w:b/>
                <w:bCs/>
                <w:szCs w:val="20"/>
              </w:rPr>
            </w:pPr>
            <w:r w:rsidRPr="00BE6A3C">
              <w:rPr>
                <w:rFonts w:cs="Arial"/>
                <w:b/>
                <w:bCs/>
                <w:szCs w:val="20"/>
              </w:rPr>
              <w:t>Nárok na slevu a bonus</w:t>
            </w:r>
          </w:p>
        </w:tc>
        <w:tc>
          <w:tcPr>
            <w:tcW w:w="5540" w:type="dxa"/>
            <w:tcBorders>
              <w:top w:val="nil"/>
              <w:left w:val="single" w:sz="4" w:space="0" w:color="auto"/>
              <w:bottom w:val="nil"/>
              <w:right w:val="nil"/>
            </w:tcBorders>
            <w:shd w:val="clear" w:color="auto" w:fill="FFFF00"/>
            <w:noWrap/>
            <w:vAlign w:val="bottom"/>
          </w:tcPr>
          <w:p w:rsidR="00D60E25" w:rsidRPr="00BE6A3C" w:rsidRDefault="00D60E25" w:rsidP="00D60E25">
            <w:pPr>
              <w:widowControl/>
              <w:adjustRightInd/>
              <w:spacing w:line="240" w:lineRule="auto"/>
              <w:jc w:val="left"/>
              <w:textAlignment w:val="auto"/>
              <w:rPr>
                <w:rFonts w:cs="Arial"/>
                <w:b/>
                <w:bCs/>
                <w:szCs w:val="20"/>
              </w:rPr>
            </w:pPr>
            <w:r w:rsidRPr="00BE6A3C">
              <w:rPr>
                <w:rFonts w:cs="Arial"/>
                <w:b/>
                <w:bCs/>
                <w:szCs w:val="20"/>
              </w:rPr>
              <w:t>z toho:</w:t>
            </w:r>
          </w:p>
        </w:tc>
        <w:tc>
          <w:tcPr>
            <w:tcW w:w="960" w:type="dxa"/>
            <w:tcBorders>
              <w:top w:val="nil"/>
              <w:left w:val="single" w:sz="4" w:space="0" w:color="auto"/>
              <w:bottom w:val="nil"/>
              <w:right w:val="single" w:sz="4" w:space="0" w:color="auto"/>
            </w:tcBorders>
            <w:shd w:val="clear" w:color="auto" w:fill="FFFF00"/>
            <w:noWrap/>
            <w:vAlign w:val="bottom"/>
          </w:tcPr>
          <w:p w:rsidR="00D60E25" w:rsidRPr="00BE6A3C" w:rsidRDefault="00D60E25" w:rsidP="00D60E25">
            <w:pPr>
              <w:widowControl/>
              <w:adjustRightInd/>
              <w:spacing w:line="240" w:lineRule="auto"/>
              <w:jc w:val="left"/>
              <w:textAlignment w:val="auto"/>
              <w:rPr>
                <w:rFonts w:cs="Arial"/>
                <w:szCs w:val="20"/>
              </w:rPr>
            </w:pPr>
            <w:r w:rsidRPr="00BE6A3C">
              <w:rPr>
                <w:rFonts w:cs="Arial"/>
                <w:szCs w:val="20"/>
              </w:rPr>
              <w:t> </w:t>
            </w:r>
          </w:p>
        </w:tc>
      </w:tr>
      <w:tr w:rsidR="00D60E25" w:rsidRPr="00D60E25">
        <w:trPr>
          <w:trHeight w:val="255"/>
        </w:trPr>
        <w:tc>
          <w:tcPr>
            <w:tcW w:w="2940" w:type="dxa"/>
            <w:tcBorders>
              <w:top w:val="nil"/>
              <w:left w:val="single" w:sz="4" w:space="0" w:color="auto"/>
              <w:bottom w:val="nil"/>
              <w:right w:val="nil"/>
            </w:tcBorders>
            <w:shd w:val="clear" w:color="auto" w:fill="FFFF00"/>
            <w:noWrap/>
            <w:vAlign w:val="bottom"/>
          </w:tcPr>
          <w:p w:rsidR="00D60E25" w:rsidRPr="00BE6A3C" w:rsidRDefault="00D60E25" w:rsidP="00D60E25">
            <w:pPr>
              <w:widowControl/>
              <w:adjustRightInd/>
              <w:spacing w:line="240" w:lineRule="auto"/>
              <w:jc w:val="left"/>
              <w:textAlignment w:val="auto"/>
              <w:rPr>
                <w:rFonts w:cs="Arial"/>
                <w:b/>
                <w:bCs/>
                <w:szCs w:val="20"/>
              </w:rPr>
            </w:pPr>
            <w:r w:rsidRPr="00BE6A3C">
              <w:rPr>
                <w:rFonts w:cs="Arial"/>
                <w:b/>
                <w:bCs/>
                <w:szCs w:val="20"/>
              </w:rPr>
              <w:t> </w:t>
            </w:r>
          </w:p>
        </w:tc>
        <w:tc>
          <w:tcPr>
            <w:tcW w:w="5540" w:type="dxa"/>
            <w:tcBorders>
              <w:top w:val="nil"/>
              <w:left w:val="single" w:sz="4" w:space="0" w:color="auto"/>
              <w:bottom w:val="nil"/>
              <w:right w:val="nil"/>
            </w:tcBorders>
            <w:shd w:val="clear" w:color="auto" w:fill="FFFF00"/>
            <w:noWrap/>
            <w:vAlign w:val="bottom"/>
          </w:tcPr>
          <w:p w:rsidR="00D60E25" w:rsidRPr="00BE6A3C" w:rsidRDefault="00D60E25" w:rsidP="00D60E25">
            <w:pPr>
              <w:widowControl/>
              <w:adjustRightInd/>
              <w:spacing w:line="240" w:lineRule="auto"/>
              <w:jc w:val="left"/>
              <w:textAlignment w:val="auto"/>
              <w:rPr>
                <w:rFonts w:cs="Arial"/>
                <w:b/>
                <w:bCs/>
                <w:szCs w:val="20"/>
              </w:rPr>
            </w:pPr>
            <w:r w:rsidRPr="00BE6A3C">
              <w:rPr>
                <w:rFonts w:cs="Arial"/>
                <w:b/>
                <w:bCs/>
                <w:szCs w:val="20"/>
              </w:rPr>
              <w:t>sleva na dani</w:t>
            </w:r>
          </w:p>
        </w:tc>
        <w:tc>
          <w:tcPr>
            <w:tcW w:w="960" w:type="dxa"/>
            <w:tcBorders>
              <w:top w:val="nil"/>
              <w:left w:val="single" w:sz="4" w:space="0" w:color="auto"/>
              <w:bottom w:val="nil"/>
              <w:right w:val="single" w:sz="4" w:space="0" w:color="auto"/>
            </w:tcBorders>
            <w:shd w:val="clear" w:color="auto" w:fill="FFFF00"/>
            <w:noWrap/>
            <w:vAlign w:val="bottom"/>
          </w:tcPr>
          <w:p w:rsidR="00D60E25" w:rsidRPr="00BE6A3C" w:rsidRDefault="00D60E25" w:rsidP="00D60E25">
            <w:pPr>
              <w:widowControl/>
              <w:adjustRightInd/>
              <w:spacing w:line="240" w:lineRule="auto"/>
              <w:jc w:val="right"/>
              <w:textAlignment w:val="auto"/>
              <w:rPr>
                <w:rFonts w:cs="Arial"/>
                <w:szCs w:val="20"/>
              </w:rPr>
            </w:pPr>
            <w:r w:rsidRPr="00BE6A3C">
              <w:rPr>
                <w:rFonts w:cs="Arial"/>
                <w:szCs w:val="20"/>
              </w:rPr>
              <w:t>0</w:t>
            </w:r>
          </w:p>
        </w:tc>
      </w:tr>
      <w:tr w:rsidR="00D60E25" w:rsidRPr="00D60E25">
        <w:trPr>
          <w:trHeight w:val="255"/>
        </w:trPr>
        <w:tc>
          <w:tcPr>
            <w:tcW w:w="2940" w:type="dxa"/>
            <w:tcBorders>
              <w:top w:val="nil"/>
              <w:left w:val="single" w:sz="4" w:space="0" w:color="auto"/>
              <w:bottom w:val="single" w:sz="4" w:space="0" w:color="auto"/>
              <w:right w:val="nil"/>
            </w:tcBorders>
            <w:shd w:val="clear" w:color="auto" w:fill="FFFF00"/>
            <w:noWrap/>
            <w:vAlign w:val="bottom"/>
          </w:tcPr>
          <w:p w:rsidR="00D60E25" w:rsidRPr="00BE6A3C" w:rsidRDefault="00D60E25" w:rsidP="00D60E25">
            <w:pPr>
              <w:widowControl/>
              <w:adjustRightInd/>
              <w:spacing w:line="240" w:lineRule="auto"/>
              <w:jc w:val="left"/>
              <w:textAlignment w:val="auto"/>
              <w:rPr>
                <w:rFonts w:cs="Arial"/>
                <w:b/>
                <w:bCs/>
                <w:szCs w:val="20"/>
              </w:rPr>
            </w:pPr>
            <w:r w:rsidRPr="00BE6A3C">
              <w:rPr>
                <w:rFonts w:cs="Arial"/>
                <w:b/>
                <w:bCs/>
                <w:szCs w:val="20"/>
              </w:rPr>
              <w:t> </w:t>
            </w:r>
          </w:p>
        </w:tc>
        <w:tc>
          <w:tcPr>
            <w:tcW w:w="5540" w:type="dxa"/>
            <w:tcBorders>
              <w:top w:val="nil"/>
              <w:left w:val="single" w:sz="4" w:space="0" w:color="auto"/>
              <w:bottom w:val="single" w:sz="4" w:space="0" w:color="auto"/>
              <w:right w:val="nil"/>
            </w:tcBorders>
            <w:shd w:val="clear" w:color="auto" w:fill="FFFF00"/>
            <w:noWrap/>
            <w:vAlign w:val="bottom"/>
          </w:tcPr>
          <w:p w:rsidR="00D60E25" w:rsidRPr="00BE6A3C" w:rsidRDefault="00D60E25" w:rsidP="00D60E25">
            <w:pPr>
              <w:widowControl/>
              <w:adjustRightInd/>
              <w:spacing w:line="240" w:lineRule="auto"/>
              <w:jc w:val="left"/>
              <w:textAlignment w:val="auto"/>
              <w:rPr>
                <w:rFonts w:cs="Arial"/>
                <w:b/>
                <w:bCs/>
                <w:szCs w:val="20"/>
              </w:rPr>
            </w:pPr>
            <w:r w:rsidRPr="00BE6A3C">
              <w:rPr>
                <w:rFonts w:cs="Arial"/>
                <w:b/>
                <w:bCs/>
                <w:szCs w:val="20"/>
              </w:rPr>
              <w:t>daňový bonus</w:t>
            </w:r>
          </w:p>
        </w:tc>
        <w:tc>
          <w:tcPr>
            <w:tcW w:w="960" w:type="dxa"/>
            <w:tcBorders>
              <w:top w:val="nil"/>
              <w:left w:val="single" w:sz="4" w:space="0" w:color="auto"/>
              <w:bottom w:val="single" w:sz="4" w:space="0" w:color="auto"/>
              <w:right w:val="single" w:sz="4" w:space="0" w:color="auto"/>
            </w:tcBorders>
            <w:shd w:val="clear" w:color="auto" w:fill="FFFF00"/>
            <w:noWrap/>
            <w:vAlign w:val="bottom"/>
          </w:tcPr>
          <w:p w:rsidR="00D60E25" w:rsidRPr="00BE6A3C" w:rsidRDefault="00D60E25" w:rsidP="00D60E25">
            <w:pPr>
              <w:widowControl/>
              <w:adjustRightInd/>
              <w:spacing w:line="240" w:lineRule="auto"/>
              <w:jc w:val="right"/>
              <w:textAlignment w:val="auto"/>
              <w:rPr>
                <w:rFonts w:cs="Arial"/>
                <w:szCs w:val="20"/>
              </w:rPr>
            </w:pPr>
            <w:r w:rsidRPr="00BE6A3C">
              <w:rPr>
                <w:rFonts w:cs="Arial"/>
                <w:szCs w:val="20"/>
              </w:rPr>
              <w:t>0</w:t>
            </w:r>
          </w:p>
        </w:tc>
      </w:tr>
      <w:tr w:rsidR="00D60E25" w:rsidRPr="00D60E25">
        <w:trPr>
          <w:trHeight w:val="255"/>
        </w:trPr>
        <w:tc>
          <w:tcPr>
            <w:tcW w:w="2940" w:type="dxa"/>
            <w:tcBorders>
              <w:top w:val="nil"/>
              <w:left w:val="single" w:sz="4" w:space="0" w:color="auto"/>
              <w:bottom w:val="nil"/>
              <w:right w:val="nil"/>
            </w:tcBorders>
            <w:shd w:val="clear" w:color="auto" w:fill="FFCC00"/>
            <w:noWrap/>
            <w:vAlign w:val="bottom"/>
          </w:tcPr>
          <w:p w:rsidR="00D60E25" w:rsidRPr="00BE6A3C" w:rsidRDefault="00D60E25" w:rsidP="00D60E25">
            <w:pPr>
              <w:widowControl/>
              <w:adjustRightInd/>
              <w:spacing w:line="240" w:lineRule="auto"/>
              <w:jc w:val="left"/>
              <w:textAlignment w:val="auto"/>
              <w:rPr>
                <w:rFonts w:cs="Arial"/>
                <w:szCs w:val="20"/>
              </w:rPr>
            </w:pPr>
            <w:r w:rsidRPr="00BE6A3C">
              <w:rPr>
                <w:rFonts w:cs="Arial"/>
                <w:szCs w:val="20"/>
              </w:rPr>
              <w:t> </w:t>
            </w:r>
          </w:p>
        </w:tc>
        <w:tc>
          <w:tcPr>
            <w:tcW w:w="5540" w:type="dxa"/>
            <w:tcBorders>
              <w:top w:val="nil"/>
              <w:left w:val="single" w:sz="4" w:space="0" w:color="auto"/>
              <w:bottom w:val="nil"/>
              <w:right w:val="nil"/>
            </w:tcBorders>
            <w:shd w:val="clear" w:color="auto" w:fill="FFCC00"/>
            <w:noWrap/>
            <w:vAlign w:val="bottom"/>
          </w:tcPr>
          <w:p w:rsidR="00D60E25" w:rsidRPr="00BE6A3C" w:rsidRDefault="00D60E25" w:rsidP="00D60E25">
            <w:pPr>
              <w:widowControl/>
              <w:adjustRightInd/>
              <w:spacing w:line="240" w:lineRule="auto"/>
              <w:jc w:val="left"/>
              <w:textAlignment w:val="auto"/>
              <w:rPr>
                <w:rFonts w:cs="Arial"/>
                <w:szCs w:val="20"/>
              </w:rPr>
            </w:pPr>
            <w:r w:rsidRPr="00BE6A3C">
              <w:rPr>
                <w:rFonts w:cs="Arial"/>
                <w:szCs w:val="20"/>
              </w:rPr>
              <w:t> </w:t>
            </w:r>
          </w:p>
        </w:tc>
        <w:tc>
          <w:tcPr>
            <w:tcW w:w="960" w:type="dxa"/>
            <w:tcBorders>
              <w:top w:val="nil"/>
              <w:left w:val="single" w:sz="4" w:space="0" w:color="auto"/>
              <w:bottom w:val="nil"/>
              <w:right w:val="single" w:sz="4" w:space="0" w:color="auto"/>
            </w:tcBorders>
            <w:shd w:val="clear" w:color="auto" w:fill="FFCC00"/>
            <w:noWrap/>
            <w:vAlign w:val="bottom"/>
          </w:tcPr>
          <w:p w:rsidR="00D60E25" w:rsidRPr="00BE6A3C" w:rsidRDefault="00D60E25" w:rsidP="00D60E25">
            <w:pPr>
              <w:widowControl/>
              <w:adjustRightInd/>
              <w:spacing w:line="240" w:lineRule="auto"/>
              <w:jc w:val="left"/>
              <w:textAlignment w:val="auto"/>
              <w:rPr>
                <w:rFonts w:cs="Arial"/>
                <w:szCs w:val="20"/>
              </w:rPr>
            </w:pPr>
            <w:r w:rsidRPr="00BE6A3C">
              <w:rPr>
                <w:rFonts w:cs="Arial"/>
                <w:szCs w:val="20"/>
              </w:rPr>
              <w:t> </w:t>
            </w:r>
          </w:p>
        </w:tc>
      </w:tr>
      <w:tr w:rsidR="00D60E25" w:rsidRPr="00D60E25">
        <w:trPr>
          <w:trHeight w:val="255"/>
        </w:trPr>
        <w:tc>
          <w:tcPr>
            <w:tcW w:w="2940" w:type="dxa"/>
            <w:tcBorders>
              <w:top w:val="nil"/>
              <w:left w:val="single" w:sz="4" w:space="0" w:color="auto"/>
              <w:bottom w:val="nil"/>
              <w:right w:val="nil"/>
            </w:tcBorders>
            <w:shd w:val="clear" w:color="auto" w:fill="FFCC00"/>
            <w:noWrap/>
            <w:vAlign w:val="bottom"/>
          </w:tcPr>
          <w:p w:rsidR="00D60E25" w:rsidRPr="00BE6A3C" w:rsidRDefault="00D60E25" w:rsidP="00D60E25">
            <w:pPr>
              <w:widowControl/>
              <w:adjustRightInd/>
              <w:spacing w:line="240" w:lineRule="auto"/>
              <w:jc w:val="left"/>
              <w:textAlignment w:val="auto"/>
              <w:rPr>
                <w:rFonts w:cs="Arial"/>
                <w:b/>
                <w:bCs/>
                <w:szCs w:val="20"/>
              </w:rPr>
            </w:pPr>
            <w:r w:rsidRPr="00BE6A3C">
              <w:rPr>
                <w:rFonts w:cs="Arial"/>
                <w:b/>
                <w:bCs/>
                <w:szCs w:val="20"/>
              </w:rPr>
              <w:t> </w:t>
            </w:r>
          </w:p>
        </w:tc>
        <w:tc>
          <w:tcPr>
            <w:tcW w:w="5540" w:type="dxa"/>
            <w:tcBorders>
              <w:top w:val="nil"/>
              <w:left w:val="single" w:sz="4" w:space="0" w:color="auto"/>
              <w:bottom w:val="nil"/>
              <w:right w:val="nil"/>
            </w:tcBorders>
            <w:shd w:val="clear" w:color="auto" w:fill="FFCC00"/>
            <w:noWrap/>
            <w:vAlign w:val="bottom"/>
          </w:tcPr>
          <w:p w:rsidR="00D60E25" w:rsidRPr="00BE6A3C" w:rsidRDefault="00D60E25" w:rsidP="00D60E25">
            <w:pPr>
              <w:widowControl/>
              <w:adjustRightInd/>
              <w:spacing w:line="240" w:lineRule="auto"/>
              <w:jc w:val="left"/>
              <w:textAlignment w:val="auto"/>
              <w:rPr>
                <w:rFonts w:cs="Arial"/>
                <w:b/>
                <w:bCs/>
                <w:szCs w:val="20"/>
              </w:rPr>
            </w:pPr>
            <w:r w:rsidRPr="00BE6A3C">
              <w:rPr>
                <w:rFonts w:cs="Arial"/>
                <w:b/>
                <w:bCs/>
                <w:szCs w:val="20"/>
              </w:rPr>
              <w:t>Daňový bonus</w:t>
            </w:r>
          </w:p>
        </w:tc>
        <w:tc>
          <w:tcPr>
            <w:tcW w:w="960" w:type="dxa"/>
            <w:tcBorders>
              <w:top w:val="nil"/>
              <w:left w:val="single" w:sz="4" w:space="0" w:color="auto"/>
              <w:bottom w:val="nil"/>
              <w:right w:val="single" w:sz="4" w:space="0" w:color="auto"/>
            </w:tcBorders>
            <w:shd w:val="clear" w:color="auto" w:fill="FFCC00"/>
            <w:noWrap/>
            <w:vAlign w:val="bottom"/>
          </w:tcPr>
          <w:p w:rsidR="00D60E25" w:rsidRPr="00BE6A3C" w:rsidRDefault="00D60E25" w:rsidP="00D60E25">
            <w:pPr>
              <w:widowControl/>
              <w:adjustRightInd/>
              <w:spacing w:line="240" w:lineRule="auto"/>
              <w:jc w:val="right"/>
              <w:textAlignment w:val="auto"/>
              <w:rPr>
                <w:rFonts w:cs="Arial"/>
                <w:szCs w:val="20"/>
              </w:rPr>
            </w:pPr>
            <w:r w:rsidRPr="00BE6A3C">
              <w:rPr>
                <w:rFonts w:cs="Arial"/>
                <w:szCs w:val="20"/>
              </w:rPr>
              <w:t>0</w:t>
            </w:r>
          </w:p>
        </w:tc>
      </w:tr>
      <w:tr w:rsidR="00D60E25" w:rsidRPr="00D60E25">
        <w:trPr>
          <w:trHeight w:val="255"/>
        </w:trPr>
        <w:tc>
          <w:tcPr>
            <w:tcW w:w="2940" w:type="dxa"/>
            <w:tcBorders>
              <w:top w:val="nil"/>
              <w:left w:val="single" w:sz="4" w:space="0" w:color="auto"/>
              <w:bottom w:val="nil"/>
              <w:right w:val="nil"/>
            </w:tcBorders>
            <w:shd w:val="clear" w:color="auto" w:fill="FFCC00"/>
            <w:noWrap/>
            <w:vAlign w:val="bottom"/>
          </w:tcPr>
          <w:p w:rsidR="00D60E25" w:rsidRPr="00BE6A3C" w:rsidRDefault="00D60E25" w:rsidP="00D60E25">
            <w:pPr>
              <w:widowControl/>
              <w:adjustRightInd/>
              <w:spacing w:line="240" w:lineRule="auto"/>
              <w:jc w:val="left"/>
              <w:textAlignment w:val="auto"/>
              <w:rPr>
                <w:rFonts w:cs="Arial"/>
                <w:b/>
                <w:bCs/>
                <w:szCs w:val="20"/>
              </w:rPr>
            </w:pPr>
            <w:r w:rsidRPr="00BE6A3C">
              <w:rPr>
                <w:rFonts w:cs="Arial"/>
                <w:b/>
                <w:bCs/>
                <w:szCs w:val="20"/>
              </w:rPr>
              <w:t>Zúčtování bonusů</w:t>
            </w:r>
          </w:p>
        </w:tc>
        <w:tc>
          <w:tcPr>
            <w:tcW w:w="5540" w:type="dxa"/>
            <w:tcBorders>
              <w:top w:val="nil"/>
              <w:left w:val="single" w:sz="4" w:space="0" w:color="auto"/>
              <w:bottom w:val="nil"/>
              <w:right w:val="nil"/>
            </w:tcBorders>
            <w:shd w:val="clear" w:color="auto" w:fill="FFCC00"/>
            <w:noWrap/>
            <w:vAlign w:val="bottom"/>
          </w:tcPr>
          <w:p w:rsidR="00D60E25" w:rsidRPr="00BE6A3C" w:rsidRDefault="00D60E25" w:rsidP="00D60E25">
            <w:pPr>
              <w:widowControl/>
              <w:adjustRightInd/>
              <w:spacing w:line="240" w:lineRule="auto"/>
              <w:jc w:val="left"/>
              <w:textAlignment w:val="auto"/>
              <w:rPr>
                <w:rFonts w:cs="Arial"/>
                <w:b/>
                <w:bCs/>
                <w:szCs w:val="20"/>
              </w:rPr>
            </w:pPr>
            <w:r w:rsidRPr="00BE6A3C">
              <w:rPr>
                <w:rFonts w:cs="Arial"/>
                <w:b/>
                <w:bCs/>
                <w:szCs w:val="20"/>
              </w:rPr>
              <w:t>Minus vyplacené bonusy</w:t>
            </w:r>
          </w:p>
        </w:tc>
        <w:tc>
          <w:tcPr>
            <w:tcW w:w="960" w:type="dxa"/>
            <w:tcBorders>
              <w:top w:val="nil"/>
              <w:left w:val="single" w:sz="4" w:space="0" w:color="auto"/>
              <w:bottom w:val="nil"/>
              <w:right w:val="single" w:sz="4" w:space="0" w:color="auto"/>
            </w:tcBorders>
            <w:shd w:val="clear" w:color="auto" w:fill="FFCC00"/>
            <w:noWrap/>
            <w:vAlign w:val="bottom"/>
          </w:tcPr>
          <w:p w:rsidR="00D60E25" w:rsidRPr="00BE6A3C" w:rsidRDefault="00D60E25" w:rsidP="00D60E25">
            <w:pPr>
              <w:widowControl/>
              <w:adjustRightInd/>
              <w:spacing w:line="240" w:lineRule="auto"/>
              <w:jc w:val="right"/>
              <w:textAlignment w:val="auto"/>
              <w:rPr>
                <w:rFonts w:cs="Arial"/>
                <w:szCs w:val="20"/>
              </w:rPr>
            </w:pPr>
            <w:r w:rsidRPr="00BE6A3C">
              <w:rPr>
                <w:rFonts w:cs="Arial"/>
                <w:szCs w:val="20"/>
              </w:rPr>
              <w:t>0</w:t>
            </w:r>
          </w:p>
        </w:tc>
      </w:tr>
      <w:tr w:rsidR="00D60E25" w:rsidRPr="00D60E25">
        <w:trPr>
          <w:trHeight w:val="255"/>
        </w:trPr>
        <w:tc>
          <w:tcPr>
            <w:tcW w:w="2940" w:type="dxa"/>
            <w:tcBorders>
              <w:top w:val="nil"/>
              <w:left w:val="single" w:sz="4" w:space="0" w:color="auto"/>
              <w:bottom w:val="single" w:sz="4" w:space="0" w:color="auto"/>
              <w:right w:val="nil"/>
            </w:tcBorders>
            <w:shd w:val="clear" w:color="auto" w:fill="FFCC00"/>
            <w:noWrap/>
            <w:vAlign w:val="bottom"/>
          </w:tcPr>
          <w:p w:rsidR="00D60E25" w:rsidRPr="00BE6A3C" w:rsidRDefault="00D60E25" w:rsidP="00D60E25">
            <w:pPr>
              <w:widowControl/>
              <w:adjustRightInd/>
              <w:spacing w:line="240" w:lineRule="auto"/>
              <w:jc w:val="left"/>
              <w:textAlignment w:val="auto"/>
              <w:rPr>
                <w:rFonts w:cs="Arial"/>
                <w:b/>
                <w:bCs/>
                <w:szCs w:val="20"/>
              </w:rPr>
            </w:pPr>
            <w:r w:rsidRPr="00BE6A3C">
              <w:rPr>
                <w:rFonts w:cs="Arial"/>
                <w:b/>
                <w:bCs/>
                <w:szCs w:val="20"/>
              </w:rPr>
              <w:t> </w:t>
            </w:r>
          </w:p>
        </w:tc>
        <w:tc>
          <w:tcPr>
            <w:tcW w:w="5540" w:type="dxa"/>
            <w:tcBorders>
              <w:top w:val="nil"/>
              <w:left w:val="single" w:sz="4" w:space="0" w:color="auto"/>
              <w:bottom w:val="single" w:sz="4" w:space="0" w:color="auto"/>
              <w:right w:val="nil"/>
            </w:tcBorders>
            <w:shd w:val="clear" w:color="auto" w:fill="FFCC00"/>
            <w:noWrap/>
            <w:vAlign w:val="bottom"/>
          </w:tcPr>
          <w:p w:rsidR="00D60E25" w:rsidRPr="00BE6A3C" w:rsidRDefault="00D60E25" w:rsidP="00D60E25">
            <w:pPr>
              <w:widowControl/>
              <w:adjustRightInd/>
              <w:spacing w:line="240" w:lineRule="auto"/>
              <w:jc w:val="left"/>
              <w:textAlignment w:val="auto"/>
              <w:rPr>
                <w:rFonts w:cs="Arial"/>
                <w:b/>
                <w:bCs/>
                <w:szCs w:val="20"/>
              </w:rPr>
            </w:pPr>
            <w:r w:rsidRPr="00BE6A3C">
              <w:rPr>
                <w:rFonts w:cs="Arial"/>
                <w:b/>
                <w:bCs/>
                <w:szCs w:val="20"/>
              </w:rPr>
              <w:t>Rozdíl na daňovém bonusu</w:t>
            </w:r>
          </w:p>
        </w:tc>
        <w:tc>
          <w:tcPr>
            <w:tcW w:w="960" w:type="dxa"/>
            <w:tcBorders>
              <w:top w:val="nil"/>
              <w:left w:val="single" w:sz="4" w:space="0" w:color="auto"/>
              <w:bottom w:val="single" w:sz="4" w:space="0" w:color="auto"/>
              <w:right w:val="single" w:sz="4" w:space="0" w:color="auto"/>
            </w:tcBorders>
            <w:shd w:val="clear" w:color="auto" w:fill="FFCC00"/>
            <w:noWrap/>
            <w:vAlign w:val="bottom"/>
          </w:tcPr>
          <w:p w:rsidR="00D60E25" w:rsidRPr="00BE6A3C" w:rsidRDefault="00D60E25" w:rsidP="00D60E25">
            <w:pPr>
              <w:widowControl/>
              <w:adjustRightInd/>
              <w:spacing w:line="240" w:lineRule="auto"/>
              <w:jc w:val="right"/>
              <w:textAlignment w:val="auto"/>
              <w:rPr>
                <w:rFonts w:cs="Arial"/>
                <w:szCs w:val="20"/>
              </w:rPr>
            </w:pPr>
            <w:r w:rsidRPr="00BE6A3C">
              <w:rPr>
                <w:rFonts w:cs="Arial"/>
                <w:szCs w:val="20"/>
              </w:rPr>
              <w:t>0</w:t>
            </w:r>
          </w:p>
        </w:tc>
      </w:tr>
      <w:tr w:rsidR="00D60E25" w:rsidRPr="00D60E25">
        <w:trPr>
          <w:trHeight w:val="255"/>
        </w:trPr>
        <w:tc>
          <w:tcPr>
            <w:tcW w:w="2940" w:type="dxa"/>
            <w:tcBorders>
              <w:top w:val="nil"/>
              <w:left w:val="single" w:sz="4" w:space="0" w:color="auto"/>
              <w:bottom w:val="nil"/>
              <w:right w:val="nil"/>
            </w:tcBorders>
            <w:shd w:val="clear" w:color="auto" w:fill="FF9900"/>
            <w:noWrap/>
            <w:vAlign w:val="bottom"/>
          </w:tcPr>
          <w:p w:rsidR="00D60E25" w:rsidRPr="00BE6A3C" w:rsidRDefault="00D60E25" w:rsidP="00D60E25">
            <w:pPr>
              <w:widowControl/>
              <w:adjustRightInd/>
              <w:spacing w:line="240" w:lineRule="auto"/>
              <w:jc w:val="left"/>
              <w:textAlignment w:val="auto"/>
              <w:rPr>
                <w:rFonts w:cs="Arial"/>
                <w:b/>
                <w:bCs/>
                <w:szCs w:val="20"/>
              </w:rPr>
            </w:pPr>
            <w:r w:rsidRPr="00BE6A3C">
              <w:rPr>
                <w:rFonts w:cs="Arial"/>
                <w:b/>
                <w:bCs/>
                <w:szCs w:val="20"/>
              </w:rPr>
              <w:t> </w:t>
            </w:r>
          </w:p>
        </w:tc>
        <w:tc>
          <w:tcPr>
            <w:tcW w:w="5540" w:type="dxa"/>
            <w:tcBorders>
              <w:top w:val="nil"/>
              <w:left w:val="single" w:sz="4" w:space="0" w:color="auto"/>
              <w:bottom w:val="nil"/>
              <w:right w:val="nil"/>
            </w:tcBorders>
            <w:shd w:val="clear" w:color="auto" w:fill="FF9900"/>
            <w:noWrap/>
            <w:vAlign w:val="bottom"/>
          </w:tcPr>
          <w:p w:rsidR="00D60E25" w:rsidRPr="00BE6A3C" w:rsidRDefault="00D60E25" w:rsidP="00D60E25">
            <w:pPr>
              <w:widowControl/>
              <w:adjustRightInd/>
              <w:spacing w:line="240" w:lineRule="auto"/>
              <w:jc w:val="left"/>
              <w:textAlignment w:val="auto"/>
              <w:rPr>
                <w:rFonts w:cs="Arial"/>
                <w:b/>
                <w:bCs/>
                <w:szCs w:val="20"/>
              </w:rPr>
            </w:pPr>
            <w:r w:rsidRPr="00BE6A3C">
              <w:rPr>
                <w:rFonts w:cs="Arial"/>
                <w:b/>
                <w:bCs/>
                <w:szCs w:val="20"/>
              </w:rPr>
              <w:t> </w:t>
            </w:r>
          </w:p>
        </w:tc>
        <w:tc>
          <w:tcPr>
            <w:tcW w:w="960" w:type="dxa"/>
            <w:tcBorders>
              <w:top w:val="nil"/>
              <w:left w:val="single" w:sz="4" w:space="0" w:color="auto"/>
              <w:bottom w:val="nil"/>
              <w:right w:val="single" w:sz="4" w:space="0" w:color="auto"/>
            </w:tcBorders>
            <w:shd w:val="clear" w:color="auto" w:fill="FF9900"/>
            <w:noWrap/>
            <w:vAlign w:val="bottom"/>
          </w:tcPr>
          <w:p w:rsidR="00D60E25" w:rsidRPr="00BE6A3C" w:rsidRDefault="00D60E25" w:rsidP="00D60E25">
            <w:pPr>
              <w:widowControl/>
              <w:adjustRightInd/>
              <w:spacing w:line="240" w:lineRule="auto"/>
              <w:jc w:val="left"/>
              <w:textAlignment w:val="auto"/>
              <w:rPr>
                <w:rFonts w:cs="Arial"/>
                <w:szCs w:val="20"/>
              </w:rPr>
            </w:pPr>
            <w:r w:rsidRPr="00BE6A3C">
              <w:rPr>
                <w:rFonts w:cs="Arial"/>
                <w:szCs w:val="20"/>
              </w:rPr>
              <w:t> </w:t>
            </w:r>
          </w:p>
        </w:tc>
      </w:tr>
      <w:tr w:rsidR="00D60E25" w:rsidRPr="00D60E25">
        <w:trPr>
          <w:trHeight w:val="255"/>
        </w:trPr>
        <w:tc>
          <w:tcPr>
            <w:tcW w:w="2940" w:type="dxa"/>
            <w:tcBorders>
              <w:top w:val="nil"/>
              <w:left w:val="single" w:sz="4" w:space="0" w:color="auto"/>
              <w:bottom w:val="nil"/>
              <w:right w:val="nil"/>
            </w:tcBorders>
            <w:shd w:val="clear" w:color="auto" w:fill="FF9900"/>
            <w:noWrap/>
            <w:vAlign w:val="bottom"/>
          </w:tcPr>
          <w:p w:rsidR="00D60E25" w:rsidRPr="00BE6A3C" w:rsidRDefault="00D60E25" w:rsidP="00D60E25">
            <w:pPr>
              <w:widowControl/>
              <w:adjustRightInd/>
              <w:spacing w:line="240" w:lineRule="auto"/>
              <w:jc w:val="left"/>
              <w:textAlignment w:val="auto"/>
              <w:rPr>
                <w:rFonts w:cs="Arial"/>
                <w:b/>
                <w:bCs/>
                <w:szCs w:val="20"/>
              </w:rPr>
            </w:pPr>
            <w:r w:rsidRPr="00BE6A3C">
              <w:rPr>
                <w:rFonts w:cs="Arial"/>
                <w:b/>
                <w:bCs/>
                <w:szCs w:val="20"/>
              </w:rPr>
              <w:t>Výsledek</w:t>
            </w:r>
          </w:p>
        </w:tc>
        <w:tc>
          <w:tcPr>
            <w:tcW w:w="5540" w:type="dxa"/>
            <w:tcBorders>
              <w:top w:val="nil"/>
              <w:left w:val="single" w:sz="4" w:space="0" w:color="auto"/>
              <w:bottom w:val="nil"/>
              <w:right w:val="nil"/>
            </w:tcBorders>
            <w:shd w:val="clear" w:color="auto" w:fill="FF9900"/>
            <w:noWrap/>
            <w:vAlign w:val="bottom"/>
          </w:tcPr>
          <w:p w:rsidR="00D60E25" w:rsidRPr="00BE6A3C" w:rsidRDefault="00D60E25" w:rsidP="00D60E25">
            <w:pPr>
              <w:widowControl/>
              <w:adjustRightInd/>
              <w:spacing w:line="240" w:lineRule="auto"/>
              <w:jc w:val="left"/>
              <w:textAlignment w:val="auto"/>
              <w:rPr>
                <w:rFonts w:cs="Arial"/>
                <w:b/>
                <w:bCs/>
                <w:szCs w:val="20"/>
              </w:rPr>
            </w:pPr>
            <w:r w:rsidRPr="00BE6A3C">
              <w:rPr>
                <w:rFonts w:cs="Arial"/>
                <w:b/>
                <w:bCs/>
                <w:szCs w:val="20"/>
              </w:rPr>
              <w:t>Výsledek</w:t>
            </w:r>
          </w:p>
        </w:tc>
        <w:tc>
          <w:tcPr>
            <w:tcW w:w="960" w:type="dxa"/>
            <w:tcBorders>
              <w:top w:val="nil"/>
              <w:left w:val="single" w:sz="4" w:space="0" w:color="auto"/>
              <w:bottom w:val="nil"/>
              <w:right w:val="single" w:sz="4" w:space="0" w:color="auto"/>
            </w:tcBorders>
            <w:shd w:val="clear" w:color="auto" w:fill="FF9900"/>
            <w:noWrap/>
            <w:vAlign w:val="bottom"/>
          </w:tcPr>
          <w:p w:rsidR="00D60E25" w:rsidRPr="00BE6A3C" w:rsidRDefault="00D60E25" w:rsidP="00D60E25">
            <w:pPr>
              <w:widowControl/>
              <w:adjustRightInd/>
              <w:spacing w:line="240" w:lineRule="auto"/>
              <w:jc w:val="left"/>
              <w:textAlignment w:val="auto"/>
              <w:rPr>
                <w:rFonts w:cs="Arial"/>
                <w:szCs w:val="20"/>
              </w:rPr>
            </w:pPr>
            <w:r w:rsidRPr="00BE6A3C">
              <w:rPr>
                <w:rFonts w:cs="Arial"/>
                <w:szCs w:val="20"/>
              </w:rPr>
              <w:t> </w:t>
            </w:r>
          </w:p>
        </w:tc>
      </w:tr>
      <w:tr w:rsidR="00D60E25" w:rsidRPr="00D60E25">
        <w:trPr>
          <w:trHeight w:val="255"/>
        </w:trPr>
        <w:tc>
          <w:tcPr>
            <w:tcW w:w="2940" w:type="dxa"/>
            <w:tcBorders>
              <w:top w:val="nil"/>
              <w:left w:val="single" w:sz="4" w:space="0" w:color="auto"/>
              <w:bottom w:val="single" w:sz="4" w:space="0" w:color="auto"/>
              <w:right w:val="nil"/>
            </w:tcBorders>
            <w:shd w:val="clear" w:color="auto" w:fill="FF9900"/>
            <w:noWrap/>
            <w:vAlign w:val="bottom"/>
          </w:tcPr>
          <w:p w:rsidR="00D60E25" w:rsidRPr="00BE6A3C" w:rsidRDefault="00D60E25" w:rsidP="00D60E25">
            <w:pPr>
              <w:widowControl/>
              <w:adjustRightInd/>
              <w:spacing w:line="240" w:lineRule="auto"/>
              <w:jc w:val="left"/>
              <w:textAlignment w:val="auto"/>
              <w:rPr>
                <w:rFonts w:cs="Arial"/>
                <w:b/>
                <w:bCs/>
                <w:szCs w:val="20"/>
              </w:rPr>
            </w:pPr>
            <w:r w:rsidRPr="00BE6A3C">
              <w:rPr>
                <w:rFonts w:cs="Arial"/>
                <w:b/>
                <w:bCs/>
                <w:szCs w:val="20"/>
              </w:rPr>
              <w:t> </w:t>
            </w:r>
          </w:p>
        </w:tc>
        <w:tc>
          <w:tcPr>
            <w:tcW w:w="5540" w:type="dxa"/>
            <w:tcBorders>
              <w:top w:val="nil"/>
              <w:left w:val="single" w:sz="4" w:space="0" w:color="auto"/>
              <w:bottom w:val="single" w:sz="4" w:space="0" w:color="auto"/>
              <w:right w:val="nil"/>
            </w:tcBorders>
            <w:shd w:val="clear" w:color="auto" w:fill="FF9900"/>
            <w:noWrap/>
            <w:vAlign w:val="bottom"/>
          </w:tcPr>
          <w:p w:rsidR="00D60E25" w:rsidRPr="00BE6A3C" w:rsidRDefault="00D60E25" w:rsidP="00D60E25">
            <w:pPr>
              <w:widowControl/>
              <w:adjustRightInd/>
              <w:spacing w:line="240" w:lineRule="auto"/>
              <w:jc w:val="left"/>
              <w:textAlignment w:val="auto"/>
              <w:rPr>
                <w:rFonts w:cs="Arial"/>
                <w:b/>
                <w:bCs/>
                <w:szCs w:val="20"/>
              </w:rPr>
            </w:pPr>
            <w:r w:rsidRPr="00BE6A3C">
              <w:rPr>
                <w:rFonts w:cs="Arial"/>
                <w:b/>
                <w:bCs/>
                <w:szCs w:val="20"/>
              </w:rPr>
              <w:t>(Rozdíl na dani po slevě a Rozdíl daňového bonusu)</w:t>
            </w:r>
          </w:p>
        </w:tc>
        <w:tc>
          <w:tcPr>
            <w:tcW w:w="960" w:type="dxa"/>
            <w:tcBorders>
              <w:top w:val="nil"/>
              <w:left w:val="single" w:sz="4" w:space="0" w:color="auto"/>
              <w:bottom w:val="single" w:sz="4" w:space="0" w:color="auto"/>
              <w:right w:val="single" w:sz="4" w:space="0" w:color="auto"/>
            </w:tcBorders>
            <w:shd w:val="clear" w:color="auto" w:fill="FF9900"/>
            <w:noWrap/>
            <w:vAlign w:val="bottom"/>
          </w:tcPr>
          <w:p w:rsidR="00D60E25" w:rsidRPr="00BE6A3C" w:rsidRDefault="00D60E25" w:rsidP="00D60E25">
            <w:pPr>
              <w:widowControl/>
              <w:adjustRightInd/>
              <w:spacing w:line="240" w:lineRule="auto"/>
              <w:jc w:val="right"/>
              <w:textAlignment w:val="auto"/>
              <w:rPr>
                <w:rFonts w:cs="Arial"/>
                <w:szCs w:val="20"/>
              </w:rPr>
            </w:pPr>
            <w:r w:rsidRPr="00BE6A3C">
              <w:rPr>
                <w:rFonts w:cs="Arial"/>
                <w:szCs w:val="20"/>
              </w:rPr>
              <w:t>5 805</w:t>
            </w:r>
          </w:p>
        </w:tc>
      </w:tr>
    </w:tbl>
    <w:p w:rsidR="0012070B" w:rsidRDefault="0012070B" w:rsidP="0074246D">
      <w:pPr>
        <w:rPr>
          <w:i/>
          <w:color w:val="548DD4"/>
        </w:rPr>
      </w:pPr>
    </w:p>
    <w:p w:rsidR="0074246D" w:rsidRDefault="0074246D" w:rsidP="0074246D">
      <w:pPr>
        <w:rPr>
          <w:i/>
          <w:color w:val="548DD4"/>
        </w:rPr>
      </w:pPr>
    </w:p>
    <w:p w:rsidR="0074246D" w:rsidRPr="00FD0631" w:rsidRDefault="00AC6985" w:rsidP="0074246D">
      <w:pPr>
        <w:rPr>
          <w:i/>
          <w:color w:val="548DD4"/>
        </w:rPr>
      </w:pPr>
      <w:r>
        <w:rPr>
          <w:i/>
          <w:noProof/>
          <w:color w:val="548DD4"/>
        </w:rPr>
        <w:lastRenderedPageBreak/>
        <w:drawing>
          <wp:inline distT="0" distB="0" distL="0" distR="0" wp14:anchorId="4401CEDE" wp14:editId="1469EC2C">
            <wp:extent cx="5562600" cy="4591050"/>
            <wp:effectExtent l="1905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cstate="print"/>
                    <a:srcRect/>
                    <a:stretch>
                      <a:fillRect/>
                    </a:stretch>
                  </pic:blipFill>
                  <pic:spPr bwMode="auto">
                    <a:xfrm>
                      <a:off x="0" y="0"/>
                      <a:ext cx="5562600" cy="4591050"/>
                    </a:xfrm>
                    <a:prstGeom prst="rect">
                      <a:avLst/>
                    </a:prstGeom>
                    <a:noFill/>
                    <a:ln w="9525">
                      <a:noFill/>
                      <a:miter lim="800000"/>
                      <a:headEnd/>
                      <a:tailEnd/>
                    </a:ln>
                  </pic:spPr>
                </pic:pic>
              </a:graphicData>
            </a:graphic>
          </wp:inline>
        </w:drawing>
      </w:r>
    </w:p>
    <w:p w:rsidR="0074246D" w:rsidRPr="00573690" w:rsidRDefault="0074246D" w:rsidP="0074246D">
      <w:pPr>
        <w:pStyle w:val="Nadpis2"/>
        <w:numPr>
          <w:ilvl w:val="1"/>
          <w:numId w:val="1"/>
        </w:numPr>
      </w:pPr>
      <w:r>
        <w:t xml:space="preserve"> </w:t>
      </w:r>
      <w:bookmarkStart w:id="87" w:name="_Toc376422284"/>
      <w:r>
        <w:t>F</w:t>
      </w:r>
      <w:r w:rsidRPr="00573690">
        <w:t>ormulář pro vyplňování ročního zúčtování</w:t>
      </w:r>
      <w:bookmarkEnd w:id="79"/>
      <w:bookmarkEnd w:id="80"/>
      <w:bookmarkEnd w:id="81"/>
      <w:bookmarkEnd w:id="82"/>
      <w:bookmarkEnd w:id="83"/>
      <w:bookmarkEnd w:id="84"/>
      <w:bookmarkEnd w:id="85"/>
      <w:bookmarkEnd w:id="87"/>
    </w:p>
    <w:p w:rsidR="0074246D" w:rsidRDefault="0074246D" w:rsidP="0074246D">
      <w:pPr>
        <w:rPr>
          <w:rStyle w:val="PromnnHTML"/>
        </w:rPr>
      </w:pPr>
      <w:r w:rsidRPr="00573690">
        <w:rPr>
          <w:rStyle w:val="PromnnHTML"/>
        </w:rPr>
        <w:t xml:space="preserve">(nabídka </w:t>
      </w:r>
      <w:r w:rsidR="00B52A45">
        <w:rPr>
          <w:rStyle w:val="PromnnHTML"/>
        </w:rPr>
        <w:t>Roční sestavy</w:t>
      </w:r>
      <w:r w:rsidRPr="00573690">
        <w:rPr>
          <w:rStyle w:val="PromnnHTML"/>
        </w:rPr>
        <w:t xml:space="preserve"> -  Roční zúčtování daně)</w:t>
      </w:r>
    </w:p>
    <w:p w:rsidR="00B52A45" w:rsidRDefault="00B52A45" w:rsidP="0074246D">
      <w:pPr>
        <w:rPr>
          <w:rStyle w:val="PromnnHTML"/>
        </w:rPr>
      </w:pPr>
    </w:p>
    <w:p w:rsidR="00B52A45" w:rsidRPr="00B52A45" w:rsidRDefault="00B52A45" w:rsidP="0074246D">
      <w:pPr>
        <w:rPr>
          <w:rStyle w:val="PromnnHTML"/>
          <w:i/>
        </w:rPr>
      </w:pPr>
      <w:r w:rsidRPr="00B52A45">
        <w:rPr>
          <w:rStyle w:val="PromnnHTML"/>
          <w:i/>
        </w:rPr>
        <w:t>V případě, že zaměstnanec v průběhu zdaňovacího období byl povinen odvést solidární zvýšení daně, nesmí mu být prováděno roční zúčtování daně. Zaměstnanec si musí podat daňové přiznání. Na tuto skutečnost jste upozornění sloupcem Solidární zvýšení daně v přehledu roční zúčtování daně nebo při uložení editoru RZD.</w:t>
      </w:r>
    </w:p>
    <w:p w:rsidR="00B52A45" w:rsidRPr="00573690" w:rsidRDefault="00B52A45" w:rsidP="0074246D">
      <w:pPr>
        <w:rPr>
          <w:rStyle w:val="PromnnHTML"/>
        </w:rPr>
      </w:pPr>
      <w:r>
        <w:rPr>
          <w:rStyle w:val="PromnnHTML"/>
        </w:rPr>
        <w:t xml:space="preserve"> </w:t>
      </w:r>
    </w:p>
    <w:p w:rsidR="0074246D" w:rsidRPr="00573690" w:rsidRDefault="0074246D" w:rsidP="0074246D">
      <w:pPr>
        <w:rPr>
          <w:rStyle w:val="PromnnHTML"/>
        </w:rPr>
      </w:pPr>
      <w:r w:rsidRPr="00573690">
        <w:rPr>
          <w:rStyle w:val="PromnnHTML"/>
        </w:rPr>
        <w:t>Formulář Ročního zúčtování daně se skládá z následujících záložek:</w:t>
      </w:r>
    </w:p>
    <w:p w:rsidR="0074246D" w:rsidRPr="00573690" w:rsidRDefault="0074246D" w:rsidP="0074246D">
      <w:pPr>
        <w:rPr>
          <w:rStyle w:val="PromnnHTML"/>
        </w:rPr>
      </w:pPr>
    </w:p>
    <w:p w:rsidR="0074246D" w:rsidRPr="00573690" w:rsidRDefault="0074246D" w:rsidP="00EC1275">
      <w:pPr>
        <w:widowControl/>
        <w:numPr>
          <w:ilvl w:val="0"/>
          <w:numId w:val="27"/>
        </w:numPr>
        <w:adjustRightInd/>
        <w:spacing w:line="240" w:lineRule="auto"/>
        <w:jc w:val="left"/>
        <w:textAlignment w:val="auto"/>
        <w:rPr>
          <w:rStyle w:val="PromnnHTML"/>
        </w:rPr>
      </w:pPr>
      <w:r w:rsidRPr="00573690">
        <w:rPr>
          <w:rStyle w:val="PromnnHTML"/>
        </w:rPr>
        <w:lastRenderedPageBreak/>
        <w:t>Základní údaje</w:t>
      </w:r>
    </w:p>
    <w:p w:rsidR="0074246D" w:rsidRPr="00573690" w:rsidRDefault="0074246D" w:rsidP="00EC1275">
      <w:pPr>
        <w:widowControl/>
        <w:numPr>
          <w:ilvl w:val="0"/>
          <w:numId w:val="27"/>
        </w:numPr>
        <w:adjustRightInd/>
        <w:spacing w:line="240" w:lineRule="auto"/>
        <w:jc w:val="left"/>
        <w:textAlignment w:val="auto"/>
        <w:rPr>
          <w:rStyle w:val="PromnnHTML"/>
        </w:rPr>
      </w:pPr>
      <w:r w:rsidRPr="00573690">
        <w:rPr>
          <w:rStyle w:val="PromnnHTML"/>
        </w:rPr>
        <w:t>Zúčtování daně</w:t>
      </w:r>
    </w:p>
    <w:p w:rsidR="0074246D" w:rsidRPr="00573690" w:rsidRDefault="0074246D" w:rsidP="00EC1275">
      <w:pPr>
        <w:widowControl/>
        <w:numPr>
          <w:ilvl w:val="0"/>
          <w:numId w:val="27"/>
        </w:numPr>
        <w:adjustRightInd/>
        <w:spacing w:line="240" w:lineRule="auto"/>
        <w:jc w:val="left"/>
        <w:textAlignment w:val="auto"/>
        <w:rPr>
          <w:rStyle w:val="PromnnHTML"/>
        </w:rPr>
      </w:pPr>
      <w:r w:rsidRPr="00573690">
        <w:rPr>
          <w:rStyle w:val="PromnnHTML"/>
        </w:rPr>
        <w:t>Daňové slevy a odpočty</w:t>
      </w:r>
    </w:p>
    <w:p w:rsidR="0074246D" w:rsidRPr="00573690" w:rsidRDefault="00523E95" w:rsidP="00D26D22">
      <w:pPr>
        <w:pStyle w:val="Nadpis3"/>
      </w:pPr>
      <w:bookmarkStart w:id="88" w:name="_Toc156581104"/>
      <w:bookmarkStart w:id="89" w:name="_Toc156581320"/>
      <w:bookmarkStart w:id="90" w:name="_Toc156581413"/>
      <w:bookmarkStart w:id="91" w:name="_Toc156620253"/>
      <w:bookmarkStart w:id="92" w:name="_Toc156620319"/>
      <w:bookmarkStart w:id="93" w:name="_Toc187638210"/>
      <w:bookmarkStart w:id="94" w:name="_Toc376422285"/>
      <w:r>
        <w:t>8</w:t>
      </w:r>
      <w:r w:rsidR="00A378C6">
        <w:t xml:space="preserve">.4.1. </w:t>
      </w:r>
      <w:r w:rsidR="0074246D" w:rsidRPr="00573690">
        <w:t>Záložka Základní údaje</w:t>
      </w:r>
      <w:bookmarkEnd w:id="88"/>
      <w:bookmarkEnd w:id="89"/>
      <w:bookmarkEnd w:id="90"/>
      <w:bookmarkEnd w:id="91"/>
      <w:bookmarkEnd w:id="92"/>
      <w:bookmarkEnd w:id="93"/>
      <w:bookmarkEnd w:id="94"/>
    </w:p>
    <w:p w:rsidR="0074246D" w:rsidRPr="00573690" w:rsidRDefault="0074246D" w:rsidP="0074246D">
      <w:pPr>
        <w:rPr>
          <w:b/>
        </w:rPr>
      </w:pPr>
      <w:r w:rsidRPr="00573690">
        <w:rPr>
          <w:b/>
        </w:rPr>
        <w:t>Přenést přeplatek do mzdy</w:t>
      </w:r>
    </w:p>
    <w:p w:rsidR="0074246D" w:rsidRPr="00573690" w:rsidRDefault="0074246D" w:rsidP="0074246D">
      <w:pPr>
        <w:rPr>
          <w:b/>
        </w:rPr>
      </w:pPr>
      <w:r w:rsidRPr="00573690">
        <w:t xml:space="preserve">Určujete, zda vypočítané roční zúčtování se má přenést do mzdy zaměstnance nebo nikoliv. Lze využít v přehledu zaměstnanců hromadnou akci pro označení nebo odznačení této položky  -  pravé tlačítko myši, volba </w:t>
      </w:r>
      <w:r w:rsidRPr="00573690">
        <w:rPr>
          <w:b/>
        </w:rPr>
        <w:t>Příznak přenosu.</w:t>
      </w:r>
    </w:p>
    <w:p w:rsidR="0074246D" w:rsidRPr="00573690" w:rsidRDefault="0074246D" w:rsidP="0074246D"/>
    <w:p w:rsidR="0074246D" w:rsidRPr="00573690" w:rsidRDefault="0074246D" w:rsidP="0074246D">
      <w:pPr>
        <w:rPr>
          <w:b/>
        </w:rPr>
      </w:pPr>
      <w:r w:rsidRPr="00573690">
        <w:rPr>
          <w:b/>
        </w:rPr>
        <w:t>Seskupit dle RČ (rodného čísla)</w:t>
      </w:r>
    </w:p>
    <w:p w:rsidR="0074246D" w:rsidRPr="00573690" w:rsidRDefault="0074246D" w:rsidP="0074246D">
      <w:r w:rsidRPr="00573690">
        <w:t>Jestliže existuje zaměstnanec, který u vás v průběhu roku pracoval na více pracovních poměrech, zabezpečíte touto položkou, že se mu údaje pro roční zúčtování seskupí dohromady dle rodného čísla.</w:t>
      </w:r>
    </w:p>
    <w:p w:rsidR="0074246D" w:rsidRDefault="0074246D" w:rsidP="0074246D"/>
    <w:p w:rsidR="00EC3E97" w:rsidRDefault="00EC3E97" w:rsidP="0074246D">
      <w:pPr>
        <w:rPr>
          <w:b/>
        </w:rPr>
      </w:pPr>
      <w:r w:rsidRPr="00EC3E97">
        <w:rPr>
          <w:b/>
        </w:rPr>
        <w:t>RZD</w:t>
      </w:r>
      <w:r>
        <w:rPr>
          <w:b/>
        </w:rPr>
        <w:t xml:space="preserve"> (roční zúčtování daně)</w:t>
      </w:r>
    </w:p>
    <w:p w:rsidR="00EC3E97" w:rsidRDefault="00EC3E97" w:rsidP="0074246D">
      <w:r>
        <w:t>Jedná se o informativní položku, která NEMÁ vliv na přenos přeplatků do mezd!</w:t>
      </w:r>
    </w:p>
    <w:p w:rsidR="005342CD" w:rsidRDefault="00EC3E97" w:rsidP="0074246D">
      <w:r>
        <w:t>Pokud nastavíte tuto položku na NEPOČÍTAT, bude tento zaměstnanec automaticky zahrnut do tisku Potvrzení o příjmu – v nabídce Roční sestavy, místní nabídka, Označ zaměstnance pro Potvrzení o příjmu.</w:t>
      </w:r>
      <w:r w:rsidR="005342CD">
        <w:t xml:space="preserve"> </w:t>
      </w:r>
    </w:p>
    <w:p w:rsidR="005342CD" w:rsidRDefault="005342CD" w:rsidP="0074246D"/>
    <w:p w:rsidR="00EC3E97" w:rsidRDefault="005342CD" w:rsidP="0074246D">
      <w:r>
        <w:t>Pro hromadnou editaci atributu je možné použít akci místní nabídky, hromadné změny Příznak pro výpočet RZD.</w:t>
      </w:r>
    </w:p>
    <w:p w:rsidR="00EC3E97" w:rsidRPr="00EC3E97" w:rsidRDefault="00EC3E97" w:rsidP="0074246D"/>
    <w:p w:rsidR="0074246D" w:rsidRPr="00573690" w:rsidRDefault="0074246D" w:rsidP="0074246D">
      <w:pPr>
        <w:rPr>
          <w:b/>
        </w:rPr>
      </w:pPr>
      <w:r w:rsidRPr="00573690">
        <w:rPr>
          <w:b/>
        </w:rPr>
        <w:t>Měsíční hodnoty</w:t>
      </w:r>
    </w:p>
    <w:p w:rsidR="0074246D" w:rsidRPr="00573690" w:rsidRDefault="0074246D" w:rsidP="0074246D">
      <w:r w:rsidRPr="00573690">
        <w:t>Zde</w:t>
      </w:r>
      <w:r>
        <w:t xml:space="preserve"> jsou jednak měsíční uzávěrkou automaticky </w:t>
      </w:r>
      <w:r w:rsidRPr="00573690">
        <w:t>napočítány hodnoty pro roční zúčtování za jednotlivé měsíce a jednak zde vidíte případné řádky Korekce, kde lze zadávat údaje z předchozích zaměstnání, případně provádět úpravy načtených údajů z výpočtu.</w:t>
      </w:r>
    </w:p>
    <w:p w:rsidR="0074246D" w:rsidRPr="00573690" w:rsidRDefault="0074246D" w:rsidP="0074246D"/>
    <w:p w:rsidR="0074246D" w:rsidRPr="00573690" w:rsidRDefault="0074246D" w:rsidP="0074246D">
      <w:pPr>
        <w:rPr>
          <w:b/>
        </w:rPr>
      </w:pPr>
      <w:r w:rsidRPr="00573690">
        <w:rPr>
          <w:b/>
        </w:rPr>
        <w:t>Úhrn příjmů</w:t>
      </w:r>
    </w:p>
    <w:p w:rsidR="0074246D" w:rsidRPr="00573690" w:rsidRDefault="0074246D" w:rsidP="0074246D">
      <w:r w:rsidRPr="00573690">
        <w:t>Úhrn zdanitelných příjmů</w:t>
      </w:r>
    </w:p>
    <w:p w:rsidR="0074246D" w:rsidRPr="00573690" w:rsidRDefault="0074246D" w:rsidP="0074246D">
      <w:pPr>
        <w:rPr>
          <w:b/>
        </w:rPr>
      </w:pPr>
      <w:r w:rsidRPr="00573690">
        <w:rPr>
          <w:b/>
        </w:rPr>
        <w:t>Pojistné</w:t>
      </w:r>
    </w:p>
    <w:p w:rsidR="0074246D" w:rsidRPr="00573690" w:rsidRDefault="0074246D" w:rsidP="0074246D">
      <w:r w:rsidRPr="00573690">
        <w:lastRenderedPageBreak/>
        <w:t>Zaplacené pojistné</w:t>
      </w:r>
      <w:r>
        <w:t xml:space="preserve"> zaměstnavatelem</w:t>
      </w:r>
    </w:p>
    <w:p w:rsidR="0074246D" w:rsidRPr="00573690" w:rsidRDefault="0074246D" w:rsidP="0074246D">
      <w:pPr>
        <w:rPr>
          <w:b/>
        </w:rPr>
      </w:pPr>
      <w:r w:rsidRPr="00573690">
        <w:rPr>
          <w:b/>
        </w:rPr>
        <w:t>Daň</w:t>
      </w:r>
    </w:p>
    <w:p w:rsidR="0074246D" w:rsidRPr="00573690" w:rsidRDefault="0074246D" w:rsidP="0074246D">
      <w:pPr>
        <w:rPr>
          <w:b/>
        </w:rPr>
      </w:pPr>
      <w:r w:rsidRPr="00573690">
        <w:t xml:space="preserve">Jedná se o „hrubou“ daň, tj. daň bez uplatnění slev -  </w:t>
      </w:r>
      <w:r w:rsidRPr="00573690">
        <w:rPr>
          <w:u w:val="single"/>
        </w:rPr>
        <w:t>není nutné</w:t>
      </w:r>
      <w:r w:rsidRPr="00573690">
        <w:t xml:space="preserve"> ji při ručním zadávání doplňovat, rozhodující pro roční zúčtování je údaj, který je vyplněný v položce </w:t>
      </w:r>
      <w:r w:rsidRPr="00573690">
        <w:rPr>
          <w:b/>
        </w:rPr>
        <w:t>Sražená daň</w:t>
      </w:r>
    </w:p>
    <w:p w:rsidR="0074246D" w:rsidRPr="00573690" w:rsidRDefault="0074246D" w:rsidP="0074246D">
      <w:pPr>
        <w:rPr>
          <w:b/>
        </w:rPr>
      </w:pPr>
      <w:r w:rsidRPr="00573690">
        <w:rPr>
          <w:b/>
        </w:rPr>
        <w:t>S_POP</w:t>
      </w:r>
    </w:p>
    <w:p w:rsidR="0074246D" w:rsidRPr="00573690" w:rsidRDefault="0074246D" w:rsidP="0074246D">
      <w:r w:rsidRPr="00573690">
        <w:t>Uplatněná Sleva na poplatníka</w:t>
      </w:r>
    </w:p>
    <w:p w:rsidR="0074246D" w:rsidRPr="00573690" w:rsidRDefault="0074246D" w:rsidP="0074246D">
      <w:pPr>
        <w:rPr>
          <w:b/>
        </w:rPr>
      </w:pPr>
      <w:r w:rsidRPr="00573690">
        <w:rPr>
          <w:b/>
        </w:rPr>
        <w:t>S_CID</w:t>
      </w:r>
    </w:p>
    <w:p w:rsidR="0074246D" w:rsidRPr="00573690" w:rsidRDefault="0074246D" w:rsidP="0074246D">
      <w:r w:rsidRPr="00573690">
        <w:t>Uplatněná Sleva na částečnou invaliditu</w:t>
      </w:r>
    </w:p>
    <w:p w:rsidR="0074246D" w:rsidRPr="00573690" w:rsidRDefault="0074246D" w:rsidP="0074246D">
      <w:pPr>
        <w:rPr>
          <w:b/>
        </w:rPr>
      </w:pPr>
      <w:r w:rsidRPr="00573690">
        <w:rPr>
          <w:b/>
        </w:rPr>
        <w:t>S_PID</w:t>
      </w:r>
    </w:p>
    <w:p w:rsidR="0074246D" w:rsidRPr="00573690" w:rsidRDefault="0074246D" w:rsidP="0074246D">
      <w:r w:rsidRPr="00573690">
        <w:t>Uplatněná Sleva na plnou invaliditu</w:t>
      </w:r>
    </w:p>
    <w:p w:rsidR="0074246D" w:rsidRPr="00573690" w:rsidRDefault="0074246D" w:rsidP="0074246D">
      <w:pPr>
        <w:rPr>
          <w:b/>
        </w:rPr>
      </w:pPr>
      <w:r w:rsidRPr="00573690">
        <w:rPr>
          <w:b/>
        </w:rPr>
        <w:t>S_ZTPP</w:t>
      </w:r>
    </w:p>
    <w:p w:rsidR="0074246D" w:rsidRPr="00573690" w:rsidRDefault="0074246D" w:rsidP="0074246D">
      <w:r w:rsidRPr="00573690">
        <w:t>Uplatněná Sleva na ZTPP</w:t>
      </w:r>
    </w:p>
    <w:p w:rsidR="0074246D" w:rsidRPr="00573690" w:rsidRDefault="0074246D" w:rsidP="0074246D">
      <w:pPr>
        <w:rPr>
          <w:b/>
        </w:rPr>
      </w:pPr>
      <w:r w:rsidRPr="00573690">
        <w:rPr>
          <w:b/>
        </w:rPr>
        <w:t>S_STD</w:t>
      </w:r>
    </w:p>
    <w:p w:rsidR="0074246D" w:rsidRPr="00573690" w:rsidRDefault="0074246D" w:rsidP="0074246D">
      <w:r w:rsidRPr="00573690">
        <w:t>Uplatněná Sleva na studium</w:t>
      </w:r>
    </w:p>
    <w:p w:rsidR="0074246D" w:rsidRPr="00573690" w:rsidRDefault="0074246D" w:rsidP="0074246D">
      <w:pPr>
        <w:rPr>
          <w:b/>
        </w:rPr>
      </w:pPr>
      <w:r w:rsidRPr="00573690">
        <w:rPr>
          <w:b/>
        </w:rPr>
        <w:t>Dítě</w:t>
      </w:r>
    </w:p>
    <w:p w:rsidR="0074246D" w:rsidRPr="00573690" w:rsidRDefault="0074246D" w:rsidP="0074246D">
      <w:pPr>
        <w:rPr>
          <w:b/>
        </w:rPr>
      </w:pPr>
      <w:r w:rsidRPr="00573690">
        <w:rPr>
          <w:b/>
        </w:rPr>
        <w:t>Dítě ZTPP</w:t>
      </w:r>
    </w:p>
    <w:p w:rsidR="0074246D" w:rsidRPr="00573690" w:rsidRDefault="0074246D" w:rsidP="0074246D">
      <w:r w:rsidRPr="00573690">
        <w:t xml:space="preserve">Zadáváte na jaké daňové zvýhodnění má zaměstnanec </w:t>
      </w:r>
      <w:r w:rsidRPr="00573690">
        <w:rPr>
          <w:u w:val="single"/>
        </w:rPr>
        <w:t>nárok</w:t>
      </w:r>
      <w:r w:rsidRPr="00573690">
        <w:t>, tedy nikoliv to, co bylo uplatněno</w:t>
      </w:r>
    </w:p>
    <w:p w:rsidR="0074246D" w:rsidRPr="00573690" w:rsidRDefault="0074246D" w:rsidP="0074246D">
      <w:pPr>
        <w:rPr>
          <w:b/>
        </w:rPr>
      </w:pPr>
      <w:r w:rsidRPr="00573690">
        <w:rPr>
          <w:b/>
        </w:rPr>
        <w:t>Sražená daň</w:t>
      </w:r>
    </w:p>
    <w:p w:rsidR="0074246D" w:rsidRPr="00573690" w:rsidRDefault="0074246D" w:rsidP="0074246D">
      <w:r w:rsidRPr="00573690">
        <w:t>Zadáváte skutečně sraženou daň po všech uplatněných slevách, tedy to, co skutečně zaměstnanec na dani zaplatil</w:t>
      </w:r>
    </w:p>
    <w:p w:rsidR="0074246D" w:rsidRPr="00573690" w:rsidRDefault="0074246D" w:rsidP="0074246D">
      <w:pPr>
        <w:rPr>
          <w:b/>
        </w:rPr>
      </w:pPr>
      <w:r w:rsidRPr="00573690">
        <w:rPr>
          <w:b/>
        </w:rPr>
        <w:t>Bonus</w:t>
      </w:r>
    </w:p>
    <w:p w:rsidR="0074246D" w:rsidRPr="00573690" w:rsidRDefault="0074246D" w:rsidP="0074246D">
      <w:pPr>
        <w:rPr>
          <w:b/>
        </w:rPr>
      </w:pPr>
      <w:r w:rsidRPr="00573690">
        <w:rPr>
          <w:b/>
        </w:rPr>
        <w:t>Úprava bonusu</w:t>
      </w:r>
    </w:p>
    <w:p w:rsidR="0074246D" w:rsidRPr="00573690" w:rsidRDefault="0074246D" w:rsidP="0074246D">
      <w:r w:rsidRPr="00573690">
        <w:t xml:space="preserve">Zadáváte skutečně </w:t>
      </w:r>
      <w:r w:rsidRPr="00573690">
        <w:rPr>
          <w:u w:val="single"/>
        </w:rPr>
        <w:t>uplatněné, vyplacené</w:t>
      </w:r>
      <w:r w:rsidRPr="00573690">
        <w:t xml:space="preserve"> bonusy</w:t>
      </w:r>
    </w:p>
    <w:p w:rsidR="0074246D" w:rsidRPr="00573690" w:rsidRDefault="00523E95" w:rsidP="00D26D22">
      <w:pPr>
        <w:pStyle w:val="Nadpis3"/>
      </w:pPr>
      <w:bookmarkStart w:id="95" w:name="_Toc156581105"/>
      <w:bookmarkStart w:id="96" w:name="_Toc156581321"/>
      <w:bookmarkStart w:id="97" w:name="_Toc156581414"/>
      <w:bookmarkStart w:id="98" w:name="_Toc156620254"/>
      <w:bookmarkStart w:id="99" w:name="_Toc156620320"/>
      <w:bookmarkStart w:id="100" w:name="_Toc187638211"/>
      <w:bookmarkStart w:id="101" w:name="_Toc376422286"/>
      <w:r>
        <w:t>8</w:t>
      </w:r>
      <w:r w:rsidR="00A378C6">
        <w:t xml:space="preserve">.4.2. </w:t>
      </w:r>
      <w:r w:rsidR="0074246D" w:rsidRPr="00573690">
        <w:t>Záložka Zúčtování daně</w:t>
      </w:r>
      <w:bookmarkEnd w:id="95"/>
      <w:bookmarkEnd w:id="96"/>
      <w:bookmarkEnd w:id="97"/>
      <w:bookmarkEnd w:id="98"/>
      <w:bookmarkEnd w:id="99"/>
      <w:bookmarkEnd w:id="100"/>
      <w:bookmarkEnd w:id="101"/>
    </w:p>
    <w:p w:rsidR="0074246D" w:rsidRPr="00573690" w:rsidRDefault="0074246D" w:rsidP="0074246D">
      <w:pPr>
        <w:pStyle w:val="Titulek"/>
        <w:rPr>
          <w:rStyle w:val="PromnnHTML"/>
          <w:u w:val="single"/>
        </w:rPr>
      </w:pPr>
      <w:r w:rsidRPr="00573690">
        <w:rPr>
          <w:rStyle w:val="PromnnHTML"/>
          <w:u w:val="single"/>
        </w:rPr>
        <w:t>VÝPOČET DANĚ</w:t>
      </w:r>
    </w:p>
    <w:p w:rsidR="0074246D" w:rsidRPr="00573690" w:rsidRDefault="0074246D" w:rsidP="0074246D">
      <w:pPr>
        <w:pStyle w:val="Titulek"/>
        <w:rPr>
          <w:rStyle w:val="PromnnHTML"/>
        </w:rPr>
      </w:pPr>
      <w:r w:rsidRPr="00573690">
        <w:rPr>
          <w:rStyle w:val="PromnnHTML"/>
        </w:rPr>
        <w:t>a) Úhrn příjmů od všech plátců</w:t>
      </w:r>
    </w:p>
    <w:p w:rsidR="0074246D" w:rsidRPr="00573690" w:rsidRDefault="0074246D" w:rsidP="0074246D">
      <w:pPr>
        <w:rPr>
          <w:rStyle w:val="PromnnHTML"/>
        </w:rPr>
      </w:pPr>
      <w:r w:rsidRPr="00573690">
        <w:rPr>
          <w:rStyle w:val="PromnnHTML"/>
        </w:rPr>
        <w:t>Sečtené příjmy z jednotlivých měsíců, případně ze všech zaměstnání</w:t>
      </w:r>
    </w:p>
    <w:p w:rsidR="0074246D" w:rsidRPr="00573690" w:rsidRDefault="0074246D" w:rsidP="0074246D">
      <w:pPr>
        <w:rPr>
          <w:rStyle w:val="PromnnHTML"/>
          <w:b/>
        </w:rPr>
      </w:pPr>
      <w:r w:rsidRPr="00573690">
        <w:rPr>
          <w:rStyle w:val="PromnnHTML"/>
          <w:b/>
        </w:rPr>
        <w:t>b) Úhrn pojistného</w:t>
      </w:r>
    </w:p>
    <w:p w:rsidR="0074246D" w:rsidRPr="00573690" w:rsidRDefault="0074246D" w:rsidP="0074246D">
      <w:pPr>
        <w:rPr>
          <w:rStyle w:val="PromnnHTML"/>
        </w:rPr>
      </w:pPr>
      <w:r w:rsidRPr="00573690">
        <w:rPr>
          <w:rStyle w:val="PromnnHTML"/>
        </w:rPr>
        <w:lastRenderedPageBreak/>
        <w:t>Sečtené pojistné</w:t>
      </w:r>
      <w:r>
        <w:rPr>
          <w:rStyle w:val="PromnnHTML"/>
        </w:rPr>
        <w:t xml:space="preserve"> za zaměstnavatele</w:t>
      </w:r>
      <w:r w:rsidRPr="00573690">
        <w:rPr>
          <w:rStyle w:val="PromnnHTML"/>
        </w:rPr>
        <w:t xml:space="preserve"> z jednotlivých měsíců, případně ze všech zaměstnání</w:t>
      </w:r>
    </w:p>
    <w:p w:rsidR="0074246D" w:rsidRPr="00573690" w:rsidRDefault="0074246D" w:rsidP="0074246D">
      <w:pPr>
        <w:rPr>
          <w:rStyle w:val="PromnnHTML"/>
          <w:b/>
        </w:rPr>
      </w:pPr>
      <w:r w:rsidRPr="00573690">
        <w:rPr>
          <w:rStyle w:val="PromnnHTML"/>
          <w:b/>
        </w:rPr>
        <w:t>c) Dílčí základ daně od všech plátců</w:t>
      </w:r>
    </w:p>
    <w:p w:rsidR="0074246D" w:rsidRPr="00573690" w:rsidRDefault="0074246D" w:rsidP="0074246D">
      <w:pPr>
        <w:rPr>
          <w:rStyle w:val="PromnnHTML"/>
        </w:rPr>
      </w:pPr>
      <w:r w:rsidRPr="00573690">
        <w:rPr>
          <w:rStyle w:val="PromnnHTML"/>
        </w:rPr>
        <w:t>a-b</w:t>
      </w:r>
    </w:p>
    <w:p w:rsidR="0074246D" w:rsidRPr="00573690" w:rsidRDefault="0074246D" w:rsidP="0074246D">
      <w:pPr>
        <w:rPr>
          <w:rStyle w:val="PromnnHTML"/>
          <w:b/>
        </w:rPr>
      </w:pPr>
      <w:r w:rsidRPr="00573690">
        <w:rPr>
          <w:rStyle w:val="PromnnHTML"/>
          <w:b/>
        </w:rPr>
        <w:t>d) Nezdanitelné částky daně</w:t>
      </w:r>
    </w:p>
    <w:p w:rsidR="0074246D" w:rsidRPr="00573690" w:rsidRDefault="0074246D" w:rsidP="0074246D">
      <w:pPr>
        <w:rPr>
          <w:rStyle w:val="PromnnHTML"/>
        </w:rPr>
      </w:pPr>
      <w:r w:rsidRPr="00573690">
        <w:rPr>
          <w:rStyle w:val="PromnnHTML"/>
        </w:rPr>
        <w:t>Suma všech uplatněných nezdanitelných částek daně (viz záložka Daňové slevy a odpočty)</w:t>
      </w:r>
    </w:p>
    <w:p w:rsidR="0074246D" w:rsidRPr="00573690" w:rsidRDefault="0074246D" w:rsidP="0074246D">
      <w:pPr>
        <w:rPr>
          <w:rStyle w:val="PromnnHTML"/>
          <w:b/>
        </w:rPr>
      </w:pPr>
      <w:r w:rsidRPr="00573690">
        <w:rPr>
          <w:rStyle w:val="PromnnHTML"/>
          <w:b/>
        </w:rPr>
        <w:t>e) Základ daně snížený o nezdanitelné částky</w:t>
      </w:r>
    </w:p>
    <w:p w:rsidR="0074246D" w:rsidRPr="00573690" w:rsidRDefault="0074246D" w:rsidP="0074246D">
      <w:pPr>
        <w:rPr>
          <w:rStyle w:val="PromnnHTML"/>
        </w:rPr>
      </w:pPr>
      <w:r w:rsidRPr="00573690">
        <w:rPr>
          <w:rStyle w:val="PromnnHTML"/>
        </w:rPr>
        <w:t>c-d</w:t>
      </w:r>
    </w:p>
    <w:p w:rsidR="0074246D" w:rsidRPr="00573690" w:rsidRDefault="0074246D" w:rsidP="0074246D">
      <w:pPr>
        <w:rPr>
          <w:rStyle w:val="PromnnHTML"/>
          <w:b/>
        </w:rPr>
      </w:pPr>
      <w:r w:rsidRPr="00573690">
        <w:rPr>
          <w:rStyle w:val="PromnnHTML"/>
          <w:b/>
        </w:rPr>
        <w:t>f) Základ daně snížený o nezdanitelné částky zaokrouhlený</w:t>
      </w:r>
    </w:p>
    <w:p w:rsidR="0074246D" w:rsidRPr="00573690" w:rsidRDefault="0074246D" w:rsidP="0074246D">
      <w:pPr>
        <w:rPr>
          <w:rStyle w:val="PromnnHTML"/>
        </w:rPr>
      </w:pPr>
      <w:r w:rsidRPr="00573690">
        <w:rPr>
          <w:rStyle w:val="PromnnHTML"/>
        </w:rPr>
        <w:t>Zaokrouhleno na 100 Kč dolů</w:t>
      </w:r>
    </w:p>
    <w:p w:rsidR="0074246D" w:rsidRPr="00573690" w:rsidRDefault="0074246D" w:rsidP="0074246D">
      <w:pPr>
        <w:rPr>
          <w:rStyle w:val="PromnnHTML"/>
          <w:b/>
        </w:rPr>
      </w:pPr>
      <w:r w:rsidRPr="00573690">
        <w:rPr>
          <w:rStyle w:val="PromnnHTML"/>
          <w:b/>
        </w:rPr>
        <w:t>g) Vypočtená daň</w:t>
      </w:r>
    </w:p>
    <w:p w:rsidR="0074246D" w:rsidRPr="00573690" w:rsidRDefault="0074246D" w:rsidP="0074246D">
      <w:pPr>
        <w:rPr>
          <w:rStyle w:val="PromnnHTML"/>
        </w:rPr>
      </w:pPr>
      <w:r w:rsidRPr="00573690">
        <w:rPr>
          <w:rStyle w:val="PromnnHTML"/>
        </w:rPr>
        <w:t>Vypočítaná daň z f)</w:t>
      </w:r>
    </w:p>
    <w:p w:rsidR="0074246D" w:rsidRPr="00573690" w:rsidRDefault="0074246D" w:rsidP="0074246D">
      <w:pPr>
        <w:rPr>
          <w:rStyle w:val="PromnnHTML"/>
          <w:b/>
        </w:rPr>
      </w:pPr>
      <w:r w:rsidRPr="00573690">
        <w:rPr>
          <w:rStyle w:val="PromnnHTML"/>
          <w:b/>
        </w:rPr>
        <w:t>h) Sleva na dani podle par. 35 ba)</w:t>
      </w:r>
    </w:p>
    <w:p w:rsidR="0074246D" w:rsidRPr="00573690" w:rsidRDefault="0074246D" w:rsidP="0074246D">
      <w:pPr>
        <w:rPr>
          <w:rStyle w:val="PromnnHTML"/>
        </w:rPr>
      </w:pPr>
      <w:r w:rsidRPr="00573690">
        <w:rPr>
          <w:rStyle w:val="PromnnHTML"/>
        </w:rPr>
        <w:t>Uplatněné slevy na dani podle výše uvedeného paragrafu  - možno doplnit na záložce Daňové slevy a odpočty</w:t>
      </w:r>
    </w:p>
    <w:p w:rsidR="0074246D" w:rsidRPr="00573690" w:rsidRDefault="0074246D" w:rsidP="0074246D">
      <w:pPr>
        <w:rPr>
          <w:rStyle w:val="PromnnHTML"/>
          <w:b/>
        </w:rPr>
      </w:pPr>
      <w:r w:rsidRPr="00573690">
        <w:rPr>
          <w:rStyle w:val="PromnnHTML"/>
          <w:b/>
        </w:rPr>
        <w:t>i) Daň po slevě na dani podle par. 35 ba)</w:t>
      </w:r>
    </w:p>
    <w:p w:rsidR="0074246D" w:rsidRPr="00573690" w:rsidRDefault="0074246D" w:rsidP="0074246D">
      <w:pPr>
        <w:rPr>
          <w:rStyle w:val="PromnnHTML"/>
        </w:rPr>
      </w:pPr>
      <w:r w:rsidRPr="00573690">
        <w:rPr>
          <w:rStyle w:val="PromnnHTML"/>
        </w:rPr>
        <w:t>g- h</w:t>
      </w:r>
    </w:p>
    <w:p w:rsidR="0074246D" w:rsidRPr="00573690" w:rsidRDefault="0074246D" w:rsidP="0074246D">
      <w:pPr>
        <w:rPr>
          <w:rStyle w:val="PromnnHTML"/>
          <w:b/>
          <w:szCs w:val="20"/>
          <w:u w:val="single"/>
        </w:rPr>
      </w:pPr>
      <w:r w:rsidRPr="00573690">
        <w:rPr>
          <w:rStyle w:val="PromnnHTML"/>
          <w:b/>
          <w:szCs w:val="20"/>
          <w:u w:val="single"/>
        </w:rPr>
        <w:t>Vůči této dani se provádí porovnání s daňovým zvýhodněním</w:t>
      </w:r>
    </w:p>
    <w:p w:rsidR="0074246D" w:rsidRPr="00573690" w:rsidRDefault="0074246D" w:rsidP="0074246D">
      <w:pPr>
        <w:rPr>
          <w:rStyle w:val="PromnnHTML"/>
          <w:b/>
          <w:caps/>
          <w:szCs w:val="20"/>
          <w:u w:val="single"/>
        </w:rPr>
      </w:pPr>
    </w:p>
    <w:p w:rsidR="0074246D" w:rsidRPr="00573690" w:rsidRDefault="0074246D" w:rsidP="0074246D">
      <w:pPr>
        <w:rPr>
          <w:rStyle w:val="PromnnHTML"/>
          <w:b/>
          <w:caps/>
          <w:szCs w:val="20"/>
          <w:u w:val="single"/>
        </w:rPr>
      </w:pPr>
      <w:r w:rsidRPr="00573690">
        <w:rPr>
          <w:rStyle w:val="PromnnHTML"/>
          <w:b/>
          <w:caps/>
          <w:szCs w:val="20"/>
          <w:u w:val="single"/>
        </w:rPr>
        <w:t xml:space="preserve">Daňové zvýhodnění </w:t>
      </w:r>
    </w:p>
    <w:p w:rsidR="0074246D" w:rsidRPr="00573690" w:rsidRDefault="0074246D" w:rsidP="0074246D">
      <w:pPr>
        <w:rPr>
          <w:rStyle w:val="PromnnHTML"/>
          <w:b/>
          <w:caps/>
          <w:szCs w:val="20"/>
        </w:rPr>
      </w:pPr>
    </w:p>
    <w:p w:rsidR="0074246D" w:rsidRPr="00573690" w:rsidRDefault="0074246D" w:rsidP="0074246D">
      <w:pPr>
        <w:rPr>
          <w:rStyle w:val="PromnnHTML"/>
          <w:b/>
        </w:rPr>
      </w:pPr>
      <w:r w:rsidRPr="00573690">
        <w:rPr>
          <w:rStyle w:val="PromnnHTML"/>
          <w:b/>
        </w:rPr>
        <w:t>j) Nárok celkem</w:t>
      </w:r>
    </w:p>
    <w:p w:rsidR="0074246D" w:rsidRPr="00573690" w:rsidRDefault="0074246D" w:rsidP="0074246D">
      <w:pPr>
        <w:rPr>
          <w:rStyle w:val="PromnnHTML"/>
          <w:szCs w:val="20"/>
        </w:rPr>
      </w:pPr>
      <w:r w:rsidRPr="00573690">
        <w:rPr>
          <w:rStyle w:val="PromnnHTML"/>
          <w:caps/>
          <w:szCs w:val="20"/>
        </w:rPr>
        <w:t>C</w:t>
      </w:r>
      <w:r w:rsidRPr="00573690">
        <w:rPr>
          <w:rStyle w:val="PromnnHTML"/>
          <w:szCs w:val="20"/>
        </w:rPr>
        <w:t>elková výše nároku na daňové zvýhodnění</w:t>
      </w:r>
    </w:p>
    <w:p w:rsidR="0074246D" w:rsidRPr="00573690" w:rsidRDefault="0074246D" w:rsidP="0074246D">
      <w:pPr>
        <w:rPr>
          <w:rStyle w:val="PromnnHTML"/>
          <w:b/>
          <w:szCs w:val="20"/>
        </w:rPr>
      </w:pPr>
      <w:r w:rsidRPr="00573690">
        <w:rPr>
          <w:rStyle w:val="PromnnHTML"/>
          <w:b/>
          <w:szCs w:val="20"/>
        </w:rPr>
        <w:t>k) z toho sleva na dani</w:t>
      </w:r>
    </w:p>
    <w:p w:rsidR="0074246D" w:rsidRPr="00573690" w:rsidRDefault="0074246D" w:rsidP="0074246D">
      <w:pPr>
        <w:rPr>
          <w:rStyle w:val="PromnnHTML"/>
          <w:szCs w:val="20"/>
        </w:rPr>
      </w:pPr>
      <w:r w:rsidRPr="00573690">
        <w:rPr>
          <w:rStyle w:val="PromnnHTML"/>
          <w:szCs w:val="20"/>
        </w:rPr>
        <w:t xml:space="preserve">Uplatňuje se do výše položky </w:t>
      </w:r>
      <w:r w:rsidRPr="00573690">
        <w:rPr>
          <w:rStyle w:val="PromnnHTML"/>
          <w:szCs w:val="20"/>
          <w:u w:val="single"/>
        </w:rPr>
        <w:t>Daň po slevě na dani podle par. 35 ba</w:t>
      </w:r>
      <w:r w:rsidRPr="00573690">
        <w:rPr>
          <w:rStyle w:val="PromnnHTML"/>
          <w:szCs w:val="20"/>
        </w:rPr>
        <w:t xml:space="preserve"> </w:t>
      </w:r>
    </w:p>
    <w:p w:rsidR="0074246D" w:rsidRPr="00573690" w:rsidRDefault="0074246D" w:rsidP="0074246D">
      <w:pPr>
        <w:rPr>
          <w:rStyle w:val="PromnnHTML"/>
          <w:b/>
          <w:szCs w:val="20"/>
        </w:rPr>
      </w:pPr>
      <w:r w:rsidRPr="00573690">
        <w:rPr>
          <w:rStyle w:val="PromnnHTML"/>
          <w:b/>
          <w:szCs w:val="20"/>
        </w:rPr>
        <w:t>l) daňový bonus</w:t>
      </w:r>
    </w:p>
    <w:p w:rsidR="0074246D" w:rsidRPr="00573690" w:rsidRDefault="0074246D" w:rsidP="0074246D">
      <w:pPr>
        <w:rPr>
          <w:rStyle w:val="PromnnHTML"/>
        </w:rPr>
      </w:pPr>
      <w:r w:rsidRPr="00573690">
        <w:rPr>
          <w:rStyle w:val="PromnnHTML"/>
        </w:rPr>
        <w:t>j-k</w:t>
      </w:r>
    </w:p>
    <w:p w:rsidR="0074246D" w:rsidRPr="00573690" w:rsidRDefault="0074246D" w:rsidP="0074246D">
      <w:pPr>
        <w:rPr>
          <w:rStyle w:val="PromnnHTML"/>
          <w:b/>
          <w:caps/>
          <w:szCs w:val="20"/>
          <w:u w:val="single"/>
        </w:rPr>
      </w:pPr>
      <w:r w:rsidRPr="00573690">
        <w:rPr>
          <w:rStyle w:val="PromnnHTML"/>
          <w:b/>
          <w:caps/>
          <w:szCs w:val="20"/>
          <w:u w:val="single"/>
        </w:rPr>
        <w:t>Zúčtování daňových bonusů</w:t>
      </w:r>
    </w:p>
    <w:p w:rsidR="0074246D" w:rsidRPr="00573690" w:rsidRDefault="0074246D" w:rsidP="0074246D">
      <w:pPr>
        <w:rPr>
          <w:rStyle w:val="PromnnHTML"/>
          <w:b/>
        </w:rPr>
      </w:pPr>
      <w:r w:rsidRPr="00573690">
        <w:rPr>
          <w:rStyle w:val="PromnnHTML"/>
          <w:b/>
        </w:rPr>
        <w:t>m) Daňový bonus</w:t>
      </w:r>
    </w:p>
    <w:p w:rsidR="0074246D" w:rsidRPr="00573690" w:rsidRDefault="0074246D" w:rsidP="0074246D">
      <w:pPr>
        <w:keepNext/>
        <w:rPr>
          <w:rStyle w:val="PromnnHTML"/>
        </w:rPr>
      </w:pPr>
      <w:r w:rsidRPr="00573690">
        <w:rPr>
          <w:rStyle w:val="PromnnHTML"/>
        </w:rPr>
        <w:lastRenderedPageBreak/>
        <w:t>Výše daňového bonusu, který lze uplatnit -  viz l)</w:t>
      </w:r>
    </w:p>
    <w:p w:rsidR="0074246D" w:rsidRPr="00573690" w:rsidRDefault="0074246D" w:rsidP="0074246D">
      <w:pPr>
        <w:keepNext/>
        <w:rPr>
          <w:rStyle w:val="PromnnHTML"/>
          <w:b/>
        </w:rPr>
      </w:pPr>
      <w:r w:rsidRPr="00573690">
        <w:rPr>
          <w:rStyle w:val="PromnnHTML"/>
          <w:b/>
        </w:rPr>
        <w:t>n) Vyplacené měsíční bonusy</w:t>
      </w:r>
    </w:p>
    <w:p w:rsidR="0074246D" w:rsidRPr="00573690" w:rsidRDefault="0074246D" w:rsidP="0074246D">
      <w:pPr>
        <w:keepNext/>
        <w:rPr>
          <w:rStyle w:val="PromnnHTML"/>
        </w:rPr>
      </w:pPr>
      <w:r w:rsidRPr="00573690">
        <w:rPr>
          <w:rStyle w:val="PromnnHTML"/>
        </w:rPr>
        <w:t>Suma vyplacených daňových bonusů</w:t>
      </w:r>
    </w:p>
    <w:p w:rsidR="0074246D" w:rsidRPr="00573690" w:rsidRDefault="0074246D" w:rsidP="0074246D">
      <w:pPr>
        <w:keepNext/>
        <w:rPr>
          <w:rStyle w:val="PromnnHTML"/>
          <w:b/>
        </w:rPr>
      </w:pPr>
      <w:r w:rsidRPr="00573690">
        <w:rPr>
          <w:rStyle w:val="PromnnHTML"/>
          <w:b/>
        </w:rPr>
        <w:t>o) Rozdíl na daňovém bonusu</w:t>
      </w:r>
    </w:p>
    <w:p w:rsidR="0074246D" w:rsidRPr="00573690" w:rsidRDefault="0074246D" w:rsidP="0074246D">
      <w:pPr>
        <w:keepNext/>
        <w:rPr>
          <w:rStyle w:val="PromnnHTML"/>
        </w:rPr>
      </w:pPr>
      <w:r w:rsidRPr="00573690">
        <w:rPr>
          <w:rStyle w:val="PromnnHTML"/>
        </w:rPr>
        <w:t>m-n</w:t>
      </w:r>
    </w:p>
    <w:p w:rsidR="0074246D" w:rsidRPr="00573690" w:rsidRDefault="0074246D" w:rsidP="0074246D">
      <w:pPr>
        <w:keepNext/>
        <w:rPr>
          <w:rStyle w:val="PromnnHTML"/>
          <w:b/>
          <w:caps/>
          <w:szCs w:val="20"/>
          <w:u w:val="single"/>
        </w:rPr>
      </w:pPr>
      <w:r w:rsidRPr="00573690">
        <w:rPr>
          <w:rStyle w:val="PromnnHTML"/>
          <w:b/>
          <w:caps/>
          <w:szCs w:val="20"/>
          <w:u w:val="single"/>
        </w:rPr>
        <w:t>Zúčtování záloh na daň po slevě</w:t>
      </w:r>
    </w:p>
    <w:p w:rsidR="0074246D" w:rsidRPr="00573690" w:rsidRDefault="0074246D" w:rsidP="0074246D">
      <w:pPr>
        <w:keepNext/>
        <w:rPr>
          <w:rStyle w:val="PromnnHTML"/>
          <w:b/>
        </w:rPr>
      </w:pPr>
      <w:r w:rsidRPr="00573690">
        <w:rPr>
          <w:rStyle w:val="PromnnHTML"/>
          <w:b/>
        </w:rPr>
        <w:t>p) Daň po slevě podle par. 35 ba)</w:t>
      </w:r>
    </w:p>
    <w:p w:rsidR="0074246D" w:rsidRPr="00573690" w:rsidRDefault="0074246D" w:rsidP="0074246D">
      <w:pPr>
        <w:keepNext/>
        <w:rPr>
          <w:rStyle w:val="PromnnHTML"/>
        </w:rPr>
      </w:pPr>
      <w:r w:rsidRPr="00573690">
        <w:rPr>
          <w:rStyle w:val="PromnnHTML"/>
        </w:rPr>
        <w:t>viz i)</w:t>
      </w:r>
    </w:p>
    <w:p w:rsidR="0074246D" w:rsidRPr="00573690" w:rsidRDefault="0074246D" w:rsidP="0074246D">
      <w:pPr>
        <w:keepNext/>
        <w:rPr>
          <w:rStyle w:val="PromnnHTML"/>
          <w:b/>
        </w:rPr>
      </w:pPr>
      <w:r w:rsidRPr="00573690">
        <w:rPr>
          <w:rStyle w:val="PromnnHTML"/>
          <w:b/>
        </w:rPr>
        <w:t>q) Snížená o slevu na dani podle par. 35c)</w:t>
      </w:r>
    </w:p>
    <w:p w:rsidR="0074246D" w:rsidRPr="00573690" w:rsidRDefault="0074246D" w:rsidP="0074246D">
      <w:pPr>
        <w:keepNext/>
        <w:rPr>
          <w:rStyle w:val="PromnnHTML"/>
        </w:rPr>
      </w:pPr>
      <w:r w:rsidRPr="00573690">
        <w:rPr>
          <w:rStyle w:val="PromnnHTML"/>
        </w:rPr>
        <w:t>jedná se o uplatněnou slevu z daňového bonusu – viz k)</w:t>
      </w:r>
    </w:p>
    <w:p w:rsidR="0074246D" w:rsidRPr="00573690" w:rsidRDefault="0074246D" w:rsidP="0074246D">
      <w:pPr>
        <w:keepNext/>
        <w:rPr>
          <w:rStyle w:val="PromnnHTML"/>
          <w:b/>
        </w:rPr>
      </w:pPr>
      <w:r w:rsidRPr="00573690">
        <w:rPr>
          <w:rStyle w:val="PromnnHTML"/>
          <w:b/>
        </w:rPr>
        <w:t>r) Daň po všech slevách</w:t>
      </w:r>
    </w:p>
    <w:p w:rsidR="0074246D" w:rsidRPr="00573690" w:rsidRDefault="0074246D" w:rsidP="0074246D">
      <w:pPr>
        <w:keepNext/>
        <w:rPr>
          <w:rStyle w:val="PromnnHTML"/>
        </w:rPr>
      </w:pPr>
      <w:r w:rsidRPr="00573690">
        <w:rPr>
          <w:rStyle w:val="PromnnHTML"/>
        </w:rPr>
        <w:t>p-q</w:t>
      </w:r>
    </w:p>
    <w:p w:rsidR="0074246D" w:rsidRPr="00573690" w:rsidRDefault="0074246D" w:rsidP="0074246D">
      <w:pPr>
        <w:keepNext/>
        <w:rPr>
          <w:rStyle w:val="PromnnHTML"/>
          <w:b/>
        </w:rPr>
      </w:pPr>
      <w:r w:rsidRPr="00573690">
        <w:rPr>
          <w:rStyle w:val="PromnnHTML"/>
          <w:b/>
        </w:rPr>
        <w:t>s) Sražené zálohy</w:t>
      </w:r>
    </w:p>
    <w:p w:rsidR="0074246D" w:rsidRPr="00573690" w:rsidRDefault="0074246D" w:rsidP="0074246D">
      <w:pPr>
        <w:keepNext/>
        <w:rPr>
          <w:rStyle w:val="PromnnHTML"/>
        </w:rPr>
      </w:pPr>
      <w:r w:rsidRPr="00573690">
        <w:rPr>
          <w:rStyle w:val="PromnnHTML"/>
        </w:rPr>
        <w:t>Skutečně sražené zálohy na daň (po všech slevách)</w:t>
      </w:r>
    </w:p>
    <w:p w:rsidR="0074246D" w:rsidRPr="00573690" w:rsidRDefault="0074246D" w:rsidP="0074246D">
      <w:pPr>
        <w:keepNext/>
        <w:rPr>
          <w:rStyle w:val="PromnnHTML"/>
          <w:b/>
        </w:rPr>
      </w:pPr>
      <w:r w:rsidRPr="00573690">
        <w:rPr>
          <w:rStyle w:val="PromnnHTML"/>
          <w:b/>
        </w:rPr>
        <w:t>t) Oprava daně</w:t>
      </w:r>
    </w:p>
    <w:p w:rsidR="0074246D" w:rsidRPr="00573690" w:rsidRDefault="0074246D" w:rsidP="0074246D">
      <w:pPr>
        <w:keepNext/>
        <w:rPr>
          <w:rStyle w:val="PromnnHTML"/>
        </w:rPr>
      </w:pPr>
      <w:r w:rsidRPr="00573690">
        <w:rPr>
          <w:rStyle w:val="PromnnHTML"/>
        </w:rPr>
        <w:t>Načtená hodnota opravy daně ze mzdové složky 909</w:t>
      </w:r>
    </w:p>
    <w:p w:rsidR="0074246D" w:rsidRPr="00573690" w:rsidRDefault="0074246D" w:rsidP="0074246D">
      <w:pPr>
        <w:keepNext/>
        <w:rPr>
          <w:rStyle w:val="PromnnHTML"/>
          <w:b/>
        </w:rPr>
      </w:pPr>
      <w:r w:rsidRPr="00573690">
        <w:rPr>
          <w:rStyle w:val="PromnnHTML"/>
          <w:b/>
        </w:rPr>
        <w:t>v) Rozdíl na dani po slevách</w:t>
      </w:r>
    </w:p>
    <w:p w:rsidR="0074246D" w:rsidRPr="00573690" w:rsidRDefault="0074246D" w:rsidP="0074246D">
      <w:pPr>
        <w:keepNext/>
        <w:rPr>
          <w:rStyle w:val="PromnnHTML"/>
        </w:rPr>
      </w:pPr>
      <w:r w:rsidRPr="00573690">
        <w:rPr>
          <w:rStyle w:val="PromnnHTML"/>
        </w:rPr>
        <w:t>r-(s</w:t>
      </w:r>
      <w:r w:rsidRPr="00573690">
        <w:rPr>
          <w:rStyle w:val="PromnnHTML"/>
          <w:lang w:val="en-US"/>
        </w:rPr>
        <w:t xml:space="preserve">+ </w:t>
      </w:r>
      <w:r w:rsidRPr="00573690">
        <w:rPr>
          <w:rStyle w:val="PromnnHTML"/>
        </w:rPr>
        <w:t>t)</w:t>
      </w:r>
    </w:p>
    <w:p w:rsidR="0074246D" w:rsidRPr="00573690" w:rsidRDefault="0074246D" w:rsidP="0074246D">
      <w:pPr>
        <w:keepNext/>
        <w:rPr>
          <w:rStyle w:val="PromnnHTML"/>
          <w:b/>
        </w:rPr>
      </w:pPr>
      <w:r w:rsidRPr="00573690">
        <w:rPr>
          <w:rStyle w:val="PromnnHTML"/>
          <w:b/>
        </w:rPr>
        <w:t>w) Kompenzace rozdílů</w:t>
      </w:r>
    </w:p>
    <w:p w:rsidR="0074246D" w:rsidRDefault="0074246D" w:rsidP="0074246D">
      <w:pPr>
        <w:keepNext/>
        <w:rPr>
          <w:rStyle w:val="PromnnHTML"/>
          <w:lang w:val="en-US"/>
        </w:rPr>
      </w:pPr>
      <w:r w:rsidRPr="00573690">
        <w:rPr>
          <w:rStyle w:val="PromnnHTML"/>
        </w:rPr>
        <w:t xml:space="preserve">o </w:t>
      </w:r>
      <w:r w:rsidRPr="00573690">
        <w:rPr>
          <w:rStyle w:val="PromnnHTML"/>
          <w:lang w:val="en-US"/>
        </w:rPr>
        <w:t>+ v</w:t>
      </w:r>
    </w:p>
    <w:p w:rsidR="0074246D" w:rsidRPr="00573690" w:rsidRDefault="0074246D" w:rsidP="0074246D">
      <w:pPr>
        <w:keepNext/>
        <w:rPr>
          <w:rStyle w:val="PromnnHTML"/>
          <w:lang w:val="en-US"/>
        </w:rPr>
      </w:pPr>
      <w:r>
        <w:rPr>
          <w:rStyle w:val="PromnnHTML"/>
          <w:lang w:val="en-US"/>
        </w:rPr>
        <w:br w:type="page"/>
      </w:r>
    </w:p>
    <w:p w:rsidR="0074246D" w:rsidRPr="00573690" w:rsidRDefault="00523E95" w:rsidP="00D26D22">
      <w:pPr>
        <w:pStyle w:val="Nadpis3"/>
      </w:pPr>
      <w:bookmarkStart w:id="102" w:name="_Toc156581106"/>
      <w:bookmarkStart w:id="103" w:name="_Toc156581322"/>
      <w:bookmarkStart w:id="104" w:name="_Toc156581415"/>
      <w:bookmarkStart w:id="105" w:name="_Toc156620255"/>
      <w:bookmarkStart w:id="106" w:name="_Toc156620321"/>
      <w:bookmarkStart w:id="107" w:name="_Toc187638212"/>
      <w:bookmarkStart w:id="108" w:name="_Toc376422287"/>
      <w:r>
        <w:lastRenderedPageBreak/>
        <w:t>8</w:t>
      </w:r>
      <w:r w:rsidR="00A378C6">
        <w:t xml:space="preserve">.4.3. </w:t>
      </w:r>
      <w:r w:rsidR="0074246D" w:rsidRPr="00573690">
        <w:t>Záložka Daňové slevy a odpočty</w:t>
      </w:r>
      <w:bookmarkEnd w:id="102"/>
      <w:bookmarkEnd w:id="103"/>
      <w:bookmarkEnd w:id="104"/>
      <w:bookmarkEnd w:id="105"/>
      <w:bookmarkEnd w:id="106"/>
      <w:bookmarkEnd w:id="107"/>
      <w:bookmarkEnd w:id="108"/>
    </w:p>
    <w:p w:rsidR="0074246D" w:rsidRDefault="0074246D" w:rsidP="0074246D">
      <w:pPr>
        <w:keepNext/>
        <w:rPr>
          <w:rStyle w:val="PromnnHTML"/>
        </w:rPr>
      </w:pPr>
      <w:r w:rsidRPr="00573690">
        <w:rPr>
          <w:rStyle w:val="PromnnHTML"/>
        </w:rPr>
        <w:t>Zde vyplňuje</w:t>
      </w:r>
      <w:r>
        <w:rPr>
          <w:rStyle w:val="PromnnHTML"/>
        </w:rPr>
        <w:t>te</w:t>
      </w:r>
      <w:r w:rsidRPr="00573690">
        <w:rPr>
          <w:rStyle w:val="PromnnHTML"/>
        </w:rPr>
        <w:t xml:space="preserve"> </w:t>
      </w:r>
      <w:r w:rsidRPr="00573690">
        <w:rPr>
          <w:rStyle w:val="PromnnHTML"/>
          <w:b/>
        </w:rPr>
        <w:t>slevy na dani</w:t>
      </w:r>
      <w:r w:rsidRPr="00573690">
        <w:rPr>
          <w:rStyle w:val="PromnnHTML"/>
        </w:rPr>
        <w:t xml:space="preserve"> a </w:t>
      </w:r>
      <w:r w:rsidRPr="00573690">
        <w:rPr>
          <w:rStyle w:val="PromnnHTML"/>
          <w:b/>
        </w:rPr>
        <w:t>nezdanitelné částky</w:t>
      </w:r>
      <w:r w:rsidRPr="00573690">
        <w:rPr>
          <w:rStyle w:val="PromnnHTML"/>
        </w:rPr>
        <w:t>, které nelze uplatnit v průběhu roku.</w:t>
      </w:r>
    </w:p>
    <w:p w:rsidR="0074246D" w:rsidRDefault="0074246D" w:rsidP="0074246D">
      <w:pPr>
        <w:keepNext/>
        <w:rPr>
          <w:rStyle w:val="PromnnHTML"/>
        </w:rPr>
      </w:pPr>
    </w:p>
    <w:p w:rsidR="0074246D" w:rsidRPr="00573690" w:rsidRDefault="0074246D" w:rsidP="0074246D">
      <w:pPr>
        <w:pStyle w:val="Nadpis2"/>
        <w:widowControl/>
        <w:numPr>
          <w:ilvl w:val="1"/>
          <w:numId w:val="1"/>
        </w:numPr>
        <w:adjustRightInd/>
        <w:spacing w:line="360" w:lineRule="auto"/>
        <w:jc w:val="left"/>
        <w:textAlignment w:val="auto"/>
      </w:pPr>
      <w:bookmarkStart w:id="109" w:name="_Toc156581110"/>
      <w:bookmarkStart w:id="110" w:name="_Toc156581326"/>
      <w:bookmarkStart w:id="111" w:name="_Toc156581419"/>
      <w:bookmarkStart w:id="112" w:name="_Toc156620258"/>
      <w:bookmarkStart w:id="113" w:name="_Toc156620324"/>
      <w:bookmarkStart w:id="114" w:name="_Toc187638213"/>
      <w:bookmarkStart w:id="115" w:name="_Toc376422288"/>
      <w:r w:rsidRPr="00573690">
        <w:t>Přenos ročního zúčtování do mezd</w:t>
      </w:r>
      <w:bookmarkEnd w:id="109"/>
      <w:bookmarkEnd w:id="110"/>
      <w:bookmarkEnd w:id="111"/>
      <w:bookmarkEnd w:id="112"/>
      <w:bookmarkEnd w:id="113"/>
      <w:bookmarkEnd w:id="114"/>
      <w:bookmarkEnd w:id="115"/>
    </w:p>
    <w:p w:rsidR="0074246D" w:rsidRPr="00573690" w:rsidRDefault="0074246D" w:rsidP="0074246D">
      <w:pPr>
        <w:spacing w:line="360" w:lineRule="auto"/>
      </w:pPr>
    </w:p>
    <w:p w:rsidR="0074246D" w:rsidRPr="00573690" w:rsidRDefault="0074246D" w:rsidP="00EC1275">
      <w:pPr>
        <w:widowControl/>
        <w:numPr>
          <w:ilvl w:val="0"/>
          <w:numId w:val="28"/>
        </w:numPr>
        <w:adjustRightInd/>
        <w:spacing w:line="360" w:lineRule="auto"/>
        <w:jc w:val="left"/>
        <w:textAlignment w:val="auto"/>
      </w:pPr>
      <w:r w:rsidRPr="00573690">
        <w:t xml:space="preserve">Roční zúčtování se vždy přenese na mzdovou složku </w:t>
      </w:r>
      <w:r w:rsidRPr="00573690">
        <w:rPr>
          <w:b/>
        </w:rPr>
        <w:t>097 záporně</w:t>
      </w:r>
      <w:r w:rsidRPr="00573690">
        <w:t xml:space="preserve"> </w:t>
      </w:r>
    </w:p>
    <w:p w:rsidR="0074246D" w:rsidRPr="00573690" w:rsidRDefault="0074246D" w:rsidP="00EC1275">
      <w:pPr>
        <w:widowControl/>
        <w:numPr>
          <w:ilvl w:val="0"/>
          <w:numId w:val="28"/>
        </w:numPr>
        <w:adjustRightInd/>
        <w:spacing w:line="360" w:lineRule="auto"/>
        <w:jc w:val="left"/>
        <w:textAlignment w:val="auto"/>
      </w:pPr>
      <w:r w:rsidRPr="00573690">
        <w:t>Roční zúčtování lze přenést do mzdy postupně v několika měsících, maximálně do výplat měsíce března</w:t>
      </w:r>
    </w:p>
    <w:p w:rsidR="0074246D" w:rsidRPr="00573690" w:rsidRDefault="0074246D" w:rsidP="00EC1275">
      <w:pPr>
        <w:widowControl/>
        <w:numPr>
          <w:ilvl w:val="0"/>
          <w:numId w:val="28"/>
        </w:numPr>
        <w:adjustRightInd/>
        <w:spacing w:line="360" w:lineRule="auto"/>
        <w:jc w:val="left"/>
        <w:textAlignment w:val="auto"/>
      </w:pPr>
      <w:r w:rsidRPr="00573690">
        <w:t xml:space="preserve">Pokud chcete roční zúčtování přenést do mzdy, je nutno vybrat konkrétní mzdové období a v přehledu Ročního zúčtování zvolit přes pravé tlačítko myši volbu </w:t>
      </w:r>
      <w:r w:rsidRPr="00573690">
        <w:rPr>
          <w:b/>
        </w:rPr>
        <w:t>Přenes přeplatky do mzdy</w:t>
      </w:r>
    </w:p>
    <w:p w:rsidR="003B3762" w:rsidRDefault="0074246D" w:rsidP="003B3762">
      <w:pPr>
        <w:widowControl/>
        <w:numPr>
          <w:ilvl w:val="0"/>
          <w:numId w:val="28"/>
        </w:numPr>
        <w:adjustRightInd/>
        <w:spacing w:line="360" w:lineRule="auto"/>
        <w:jc w:val="left"/>
        <w:textAlignment w:val="auto"/>
      </w:pPr>
      <w:r w:rsidRPr="00573690">
        <w:t>O přenesenou výši ročního zúčtování se automaticky sníží odvod zálohové daně</w:t>
      </w:r>
    </w:p>
    <w:p w:rsidR="0074246D" w:rsidRPr="000E69CD" w:rsidRDefault="0074246D" w:rsidP="003B3762">
      <w:pPr>
        <w:widowControl/>
        <w:numPr>
          <w:ilvl w:val="0"/>
          <w:numId w:val="28"/>
        </w:numPr>
        <w:adjustRightInd/>
        <w:spacing w:line="360" w:lineRule="auto"/>
        <w:jc w:val="left"/>
        <w:textAlignment w:val="auto"/>
      </w:pPr>
      <w:r w:rsidRPr="003B3762">
        <w:t xml:space="preserve">V definici platebního příkazu je vhodné mít u zálohové daně zatrženo </w:t>
      </w:r>
      <w:r w:rsidRPr="003B3762">
        <w:rPr>
          <w:b/>
        </w:rPr>
        <w:t>Odečíst neuplatněné roční zúčtování</w:t>
      </w:r>
    </w:p>
    <w:p w:rsidR="000E69CD" w:rsidRPr="00363F26" w:rsidRDefault="000E69CD" w:rsidP="00363F26">
      <w:pPr>
        <w:pStyle w:val="Nadpis2"/>
        <w:widowControl/>
        <w:numPr>
          <w:ilvl w:val="1"/>
          <w:numId w:val="1"/>
        </w:numPr>
        <w:adjustRightInd/>
        <w:spacing w:line="360" w:lineRule="auto"/>
        <w:jc w:val="left"/>
        <w:textAlignment w:val="auto"/>
      </w:pPr>
      <w:bookmarkStart w:id="116" w:name="_Toc251242135"/>
      <w:bookmarkStart w:id="117" w:name="_Toc283213450"/>
      <w:bookmarkStart w:id="118" w:name="_Toc376422289"/>
      <w:r>
        <w:t>ZPS</w:t>
      </w:r>
      <w:bookmarkEnd w:id="116"/>
      <w:r>
        <w:t xml:space="preserve">  - zákonné pojištění zaměstnavatele</w:t>
      </w:r>
      <w:bookmarkEnd w:id="117"/>
      <w:bookmarkEnd w:id="118"/>
    </w:p>
    <w:p w:rsidR="000E69CD" w:rsidRPr="00363F26" w:rsidRDefault="00B52A45" w:rsidP="000E69CD">
      <w:r>
        <w:t>Sazby pro výpočet povinného</w:t>
      </w:r>
      <w:r w:rsidR="000E69CD" w:rsidRPr="00363F26">
        <w:t xml:space="preserve"> podílu:</w:t>
      </w:r>
    </w:p>
    <w:p w:rsidR="000E69CD" w:rsidRPr="00363F26" w:rsidRDefault="000E69CD" w:rsidP="0022378B">
      <w:pPr>
        <w:pStyle w:val="Odstavecseseznamem"/>
        <w:numPr>
          <w:ilvl w:val="0"/>
          <w:numId w:val="37"/>
        </w:numPr>
      </w:pPr>
      <w:r w:rsidRPr="00363F26">
        <w:t xml:space="preserve">Průměrná mzda v národním hospodářství za rok </w:t>
      </w:r>
      <w:r w:rsidR="00C345B2">
        <w:t>2013</w:t>
      </w:r>
      <w:r w:rsidRPr="00363F26">
        <w:t xml:space="preserve"> je </w:t>
      </w:r>
      <w:r w:rsidR="0042456A" w:rsidRPr="0042456A">
        <w:rPr>
          <w:b/>
        </w:rPr>
        <w:t xml:space="preserve">24 </w:t>
      </w:r>
      <w:r w:rsidR="000738E0">
        <w:rPr>
          <w:b/>
        </w:rPr>
        <w:t>622</w:t>
      </w:r>
      <w:r w:rsidRPr="00363F26">
        <w:rPr>
          <w:b/>
        </w:rPr>
        <w:t xml:space="preserve"> Kč</w:t>
      </w:r>
    </w:p>
    <w:p w:rsidR="000E69CD" w:rsidRPr="00363F26" w:rsidRDefault="000E69CD" w:rsidP="0022378B">
      <w:pPr>
        <w:pStyle w:val="Odstavecseseznamem"/>
        <w:numPr>
          <w:ilvl w:val="0"/>
          <w:numId w:val="37"/>
        </w:numPr>
      </w:pPr>
      <w:r w:rsidRPr="00363F26">
        <w:t xml:space="preserve">Přepočet odebraných výrobků nebo služeb nebo zadaných zakázek se provede tak, že se cena všech skutečně zaplacených výrobků nebo služeb nebo zadaných zakázek (vše bez DPH) vydělí sedminásobkem průměrné měsíční mzdy v národním hospodářství za 1. – 3. čtvrtletí roku </w:t>
      </w:r>
      <w:r w:rsidR="00C345B2">
        <w:t>2013</w:t>
      </w:r>
      <w:r w:rsidRPr="00363F26">
        <w:t xml:space="preserve">, tj. částkou </w:t>
      </w:r>
      <w:r w:rsidR="000738E0">
        <w:rPr>
          <w:b/>
        </w:rPr>
        <w:t>172 354</w:t>
      </w:r>
      <w:r w:rsidRPr="00363F26">
        <w:t xml:space="preserve"> Kč.</w:t>
      </w:r>
    </w:p>
    <w:p w:rsidR="000E69CD" w:rsidRPr="00363F26" w:rsidRDefault="000E69CD" w:rsidP="0022378B">
      <w:pPr>
        <w:pStyle w:val="Odstavecseseznamem"/>
        <w:numPr>
          <w:ilvl w:val="0"/>
          <w:numId w:val="37"/>
        </w:numPr>
        <w:rPr>
          <w:b/>
        </w:rPr>
      </w:pPr>
      <w:r w:rsidRPr="00363F26">
        <w:t xml:space="preserve">Odvod do státního rozpočtu za jednu přepočtenou osobu je </w:t>
      </w:r>
      <w:r w:rsidR="00200D35" w:rsidRPr="00200D35">
        <w:rPr>
          <w:b/>
        </w:rPr>
        <w:t xml:space="preserve">61 </w:t>
      </w:r>
      <w:r w:rsidR="000738E0">
        <w:rPr>
          <w:b/>
        </w:rPr>
        <w:t>555</w:t>
      </w:r>
      <w:r w:rsidRPr="00363F26">
        <w:rPr>
          <w:b/>
        </w:rPr>
        <w:t xml:space="preserve"> Kč</w:t>
      </w:r>
    </w:p>
    <w:p w:rsidR="000E69CD" w:rsidRPr="00363F26" w:rsidRDefault="000E69CD" w:rsidP="0022378B">
      <w:pPr>
        <w:pStyle w:val="Odstavecseseznamem"/>
        <w:numPr>
          <w:ilvl w:val="0"/>
          <w:numId w:val="37"/>
        </w:numPr>
        <w:rPr>
          <w:b/>
        </w:rPr>
      </w:pPr>
      <w:r w:rsidRPr="00363F26">
        <w:t>Povinný podíl je</w:t>
      </w:r>
      <w:r w:rsidRPr="00363F26">
        <w:rPr>
          <w:b/>
        </w:rPr>
        <w:t xml:space="preserve"> 4%</w:t>
      </w:r>
    </w:p>
    <w:p w:rsidR="000E69CD" w:rsidRDefault="000E69CD" w:rsidP="000E69CD">
      <w:pPr>
        <w:widowControl/>
        <w:adjustRightInd/>
        <w:spacing w:line="360" w:lineRule="auto"/>
        <w:jc w:val="left"/>
        <w:textAlignment w:val="auto"/>
      </w:pPr>
    </w:p>
    <w:p w:rsidR="007E3DE3" w:rsidRDefault="007E3DE3">
      <w:pPr>
        <w:widowControl/>
        <w:adjustRightInd/>
        <w:spacing w:line="240" w:lineRule="auto"/>
        <w:jc w:val="left"/>
        <w:textAlignment w:val="auto"/>
        <w:rPr>
          <w:rFonts w:cs="Arial"/>
          <w:b/>
          <w:bCs/>
          <w:caps/>
          <w:kern w:val="32"/>
          <w:sz w:val="32"/>
          <w:szCs w:val="32"/>
        </w:rPr>
      </w:pPr>
      <w:r>
        <w:br w:type="page"/>
      </w:r>
    </w:p>
    <w:p w:rsidR="007E3DE3" w:rsidRDefault="00F37ABF" w:rsidP="00F37ABF">
      <w:pPr>
        <w:pStyle w:val="Nadpis1"/>
      </w:pPr>
      <w:bookmarkStart w:id="119" w:name="_Toc376422290"/>
      <w:r w:rsidRPr="00F37ABF">
        <w:lastRenderedPageBreak/>
        <w:t>elektronické odesílání</w:t>
      </w:r>
      <w:bookmarkEnd w:id="119"/>
    </w:p>
    <w:p w:rsidR="00F37ABF" w:rsidRDefault="00F37ABF" w:rsidP="000E69CD">
      <w:pPr>
        <w:widowControl/>
        <w:adjustRightInd/>
        <w:spacing w:line="360" w:lineRule="auto"/>
        <w:jc w:val="left"/>
        <w:textAlignment w:val="auto"/>
      </w:pPr>
    </w:p>
    <w:p w:rsidR="00F37ABF" w:rsidRDefault="00190C3B" w:rsidP="000E69CD">
      <w:pPr>
        <w:widowControl/>
        <w:adjustRightInd/>
        <w:spacing w:line="360" w:lineRule="auto"/>
        <w:jc w:val="left"/>
        <w:textAlignment w:val="auto"/>
      </w:pPr>
      <w:r>
        <w:t>17</w:t>
      </w:r>
      <w:r w:rsidR="00CC67AB">
        <w:t xml:space="preserve">. </w:t>
      </w:r>
      <w:r>
        <w:t>prosince</w:t>
      </w:r>
      <w:r w:rsidR="00F37ABF">
        <w:t xml:space="preserve"> </w:t>
      </w:r>
      <w:r w:rsidR="00C345B2">
        <w:t>201</w:t>
      </w:r>
      <w:r>
        <w:t>3</w:t>
      </w:r>
      <w:r w:rsidR="00F37ABF">
        <w:t xml:space="preserve"> </w:t>
      </w:r>
      <w:r>
        <w:t>s</w:t>
      </w:r>
      <w:r w:rsidR="00F37ABF">
        <w:t>konč</w:t>
      </w:r>
      <w:r>
        <w:t>il</w:t>
      </w:r>
      <w:r w:rsidR="00F37ABF">
        <w:t xml:space="preserve"> platnost šifrovacího certifikátu DIS.CSSZ.</w:t>
      </w:r>
      <w:r w:rsidR="00C345B2">
        <w:t>2013</w:t>
      </w:r>
      <w:r w:rsidR="00F37ABF">
        <w:t xml:space="preserve">, certifikátu České správy sociálního zabezpečení. Je nutné provést nové stažení certifikátu ze stránek ČSSZ  </w:t>
      </w:r>
      <w:hyperlink r:id="rId33" w:history="1">
        <w:r w:rsidR="00F37ABF" w:rsidRPr="00F37ABF">
          <w:rPr>
            <w:rStyle w:val="Hypertextovodkaz"/>
          </w:rPr>
          <w:t>http://www.cssz.cz/cz/e-podani/ke-stazeni/</w:t>
        </w:r>
      </w:hyperlink>
      <w:r w:rsidR="00F37ABF">
        <w:t xml:space="preserve"> nebo ze článku v Poradně na našich stránkách. </w:t>
      </w:r>
    </w:p>
    <w:p w:rsidR="00F37ABF" w:rsidRDefault="00F37ABF" w:rsidP="000E69CD">
      <w:pPr>
        <w:widowControl/>
        <w:adjustRightInd/>
        <w:spacing w:line="360" w:lineRule="auto"/>
        <w:jc w:val="left"/>
        <w:textAlignment w:val="auto"/>
      </w:pPr>
    </w:p>
    <w:p w:rsidR="00F37ABF" w:rsidRDefault="00F37ABF" w:rsidP="00F37ABF">
      <w:pPr>
        <w:widowControl/>
        <w:adjustRightInd/>
        <w:spacing w:line="360" w:lineRule="auto"/>
        <w:jc w:val="left"/>
        <w:textAlignment w:val="auto"/>
      </w:pPr>
      <w:r>
        <w:t>Každý certifikát se automaticky instaluje do příslušného úložiště certifikátů dle své povahy a v následujícím pořadí:</w:t>
      </w:r>
    </w:p>
    <w:p w:rsidR="00F37ABF" w:rsidRDefault="00F37ABF" w:rsidP="00F37ABF">
      <w:pPr>
        <w:widowControl/>
        <w:adjustRightInd/>
        <w:spacing w:line="360" w:lineRule="auto"/>
        <w:jc w:val="left"/>
        <w:textAlignment w:val="auto"/>
      </w:pPr>
    </w:p>
    <w:p w:rsidR="00F37ABF" w:rsidRDefault="00F37ABF" w:rsidP="00F37ABF">
      <w:pPr>
        <w:widowControl/>
        <w:adjustRightInd/>
        <w:spacing w:line="360" w:lineRule="auto"/>
        <w:jc w:val="left"/>
        <w:textAlignment w:val="auto"/>
      </w:pPr>
      <w:r>
        <w:t>Šifrovací certifikát ČSSZ</w:t>
      </w:r>
    </w:p>
    <w:p w:rsidR="00F37ABF" w:rsidRPr="00F37ABF" w:rsidRDefault="00F37ABF" w:rsidP="00F37ABF">
      <w:pPr>
        <w:widowControl/>
        <w:adjustRightInd/>
        <w:spacing w:line="360" w:lineRule="auto"/>
        <w:jc w:val="left"/>
        <w:textAlignment w:val="auto"/>
        <w:rPr>
          <w:b/>
        </w:rPr>
      </w:pPr>
      <w:r w:rsidRPr="00F37ABF">
        <w:rPr>
          <w:b/>
        </w:rPr>
        <w:t>DIS_CSSZ_</w:t>
      </w:r>
      <w:r w:rsidR="00C345B2">
        <w:rPr>
          <w:b/>
        </w:rPr>
        <w:t>2014</w:t>
      </w:r>
      <w:r>
        <w:rPr>
          <w:b/>
        </w:rPr>
        <w:t xml:space="preserve">.cer - </w:t>
      </w:r>
      <w:r>
        <w:t>Intermediate (CA) / Zprostředkující certifikační úřady</w:t>
      </w:r>
    </w:p>
    <w:p w:rsidR="00F37ABF" w:rsidRPr="00190C3B" w:rsidRDefault="00F37ABF" w:rsidP="00F37ABF">
      <w:pPr>
        <w:widowControl/>
        <w:adjustRightInd/>
        <w:spacing w:line="360" w:lineRule="auto"/>
        <w:jc w:val="left"/>
        <w:textAlignment w:val="auto"/>
      </w:pPr>
      <w:r>
        <w:t>(default na Windows Vista, Windows 7, ale ne na XP – zde je nutno nastavit cestu na úložiště ručně!!!)</w:t>
      </w:r>
      <w:r w:rsidR="00190C3B">
        <w:t xml:space="preserve">. Nyní je platnost certifikátu do </w:t>
      </w:r>
      <w:r w:rsidR="00190C3B" w:rsidRPr="00190C3B">
        <w:rPr>
          <w:b/>
        </w:rPr>
        <w:t>28. 11. 2014</w:t>
      </w:r>
      <w:r w:rsidR="00190C3B">
        <w:t>.</w:t>
      </w:r>
    </w:p>
    <w:p w:rsidR="00F37ABF" w:rsidRDefault="00F37ABF" w:rsidP="00F37ABF">
      <w:pPr>
        <w:widowControl/>
        <w:adjustRightInd/>
        <w:spacing w:line="360" w:lineRule="auto"/>
        <w:jc w:val="left"/>
        <w:textAlignment w:val="auto"/>
      </w:pPr>
    </w:p>
    <w:p w:rsidR="00F37ABF" w:rsidRDefault="00F37ABF" w:rsidP="00F37ABF">
      <w:pPr>
        <w:widowControl/>
        <w:adjustRightInd/>
        <w:spacing w:line="360" w:lineRule="auto"/>
        <w:jc w:val="left"/>
        <w:textAlignment w:val="auto"/>
      </w:pPr>
      <w:r>
        <w:t xml:space="preserve">Kontrolu správného nainstalování certifikátů lze provést přes Internet Explorer v nabídce </w:t>
      </w:r>
      <w:r w:rsidRPr="00F37ABF">
        <w:rPr>
          <w:b/>
        </w:rPr>
        <w:t>Nástroje – Možnosti Internetu.</w:t>
      </w:r>
      <w:r>
        <w:t xml:space="preserve"> Zvolením tlačítka Certifikáty na záložce Obsah se dostanete do úložiště certifikátů.</w:t>
      </w:r>
    </w:p>
    <w:p w:rsidR="00F37ABF" w:rsidRDefault="00F37ABF" w:rsidP="00F37ABF">
      <w:pPr>
        <w:widowControl/>
        <w:adjustRightInd/>
        <w:spacing w:line="360" w:lineRule="auto"/>
        <w:jc w:val="left"/>
        <w:textAlignment w:val="auto"/>
      </w:pPr>
    </w:p>
    <w:p w:rsidR="00F37ABF" w:rsidRPr="00F37ABF" w:rsidRDefault="00F37ABF" w:rsidP="00F37ABF">
      <w:pPr>
        <w:widowControl/>
        <w:adjustRightInd/>
        <w:spacing w:line="360" w:lineRule="auto"/>
        <w:jc w:val="left"/>
        <w:textAlignment w:val="auto"/>
        <w:rPr>
          <w:b/>
        </w:rPr>
      </w:pPr>
      <w:r w:rsidRPr="00F37ABF">
        <w:rPr>
          <w:b/>
        </w:rPr>
        <w:t>Výměna šifrovacího certifikátu v definici zpráv Helios Orange</w:t>
      </w:r>
    </w:p>
    <w:p w:rsidR="00F37ABF" w:rsidRDefault="00F37ABF" w:rsidP="00F37ABF">
      <w:pPr>
        <w:widowControl/>
        <w:adjustRightInd/>
        <w:spacing w:line="360" w:lineRule="auto"/>
        <w:jc w:val="left"/>
        <w:textAlignment w:val="auto"/>
      </w:pPr>
      <w:r>
        <w:t>V Pomocných číselnících v přehledu Přehled definice zpráv, na kterémkoliv záznamu přehledu stiskněte pravé tlačítko myši nebo volbu místní nabídky Akce. Vyberte akci Hromadná změna certifikátu.</w:t>
      </w:r>
    </w:p>
    <w:p w:rsidR="00F37ABF" w:rsidRDefault="00F37ABF" w:rsidP="00F37ABF">
      <w:pPr>
        <w:widowControl/>
        <w:adjustRightInd/>
        <w:spacing w:line="360" w:lineRule="auto"/>
        <w:jc w:val="left"/>
        <w:textAlignment w:val="auto"/>
      </w:pPr>
    </w:p>
    <w:p w:rsidR="00F37ABF" w:rsidRDefault="00F37ABF" w:rsidP="00F37ABF">
      <w:pPr>
        <w:widowControl/>
        <w:adjustRightInd/>
        <w:spacing w:line="360" w:lineRule="auto"/>
        <w:jc w:val="left"/>
        <w:textAlignment w:val="auto"/>
      </w:pPr>
      <w:r>
        <w:rPr>
          <w:noProof/>
        </w:rPr>
        <w:lastRenderedPageBreak/>
        <w:drawing>
          <wp:inline distT="0" distB="0" distL="0" distR="0" wp14:anchorId="36382094" wp14:editId="2246A43C">
            <wp:extent cx="5715000" cy="4800600"/>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715000" cy="4800600"/>
                    </a:xfrm>
                    <a:prstGeom prst="rect">
                      <a:avLst/>
                    </a:prstGeom>
                  </pic:spPr>
                </pic:pic>
              </a:graphicData>
            </a:graphic>
          </wp:inline>
        </w:drawing>
      </w:r>
    </w:p>
    <w:p w:rsidR="00F37ABF" w:rsidRDefault="00F37ABF" w:rsidP="00F37ABF">
      <w:pPr>
        <w:widowControl/>
        <w:adjustRightInd/>
        <w:spacing w:line="360" w:lineRule="auto"/>
        <w:jc w:val="left"/>
        <w:textAlignment w:val="auto"/>
      </w:pPr>
    </w:p>
    <w:p w:rsidR="00F37ABF" w:rsidRDefault="00F37ABF" w:rsidP="0022378B">
      <w:pPr>
        <w:pStyle w:val="Odstavecseseznamem"/>
        <w:widowControl/>
        <w:numPr>
          <w:ilvl w:val="0"/>
          <w:numId w:val="40"/>
        </w:numPr>
        <w:adjustRightInd/>
        <w:spacing w:line="360" w:lineRule="auto"/>
        <w:jc w:val="left"/>
        <w:textAlignment w:val="auto"/>
      </w:pPr>
      <w:r w:rsidRPr="00F37ABF">
        <w:rPr>
          <w:b/>
        </w:rPr>
        <w:t>Typ ce</w:t>
      </w:r>
      <w:r>
        <w:rPr>
          <w:b/>
        </w:rPr>
        <w:t xml:space="preserve">rtifikátu nastavte na šifrovací - </w:t>
      </w:r>
      <w:r>
        <w:t>V sekci původní šifrovací certifikát nastavte přes atribut Vystaveno pro, původní certifikát DIS.CSSZ.</w:t>
      </w:r>
      <w:r w:rsidR="00C345B2">
        <w:t>2013</w:t>
      </w:r>
      <w:r>
        <w:t xml:space="preserve"> (kliknutím na tlačítko tři tečky a výběrem z přehledu).</w:t>
      </w:r>
    </w:p>
    <w:p w:rsidR="00F37ABF" w:rsidRDefault="00F37ABF" w:rsidP="0022378B">
      <w:pPr>
        <w:pStyle w:val="Odstavecseseznamem"/>
        <w:widowControl/>
        <w:numPr>
          <w:ilvl w:val="0"/>
          <w:numId w:val="40"/>
        </w:numPr>
        <w:adjustRightInd/>
        <w:spacing w:line="360" w:lineRule="auto"/>
        <w:jc w:val="left"/>
        <w:textAlignment w:val="auto"/>
      </w:pPr>
      <w:r w:rsidRPr="00F37ABF">
        <w:rPr>
          <w:b/>
        </w:rPr>
        <w:t xml:space="preserve">V sekci nový certifikát nastavte atribut umístění CA - </w:t>
      </w:r>
      <w:r>
        <w:t>Pokud nenajdete certifikát v tomto umístění, zkuste nastavit atribut umístění na AddressBook</w:t>
      </w:r>
    </w:p>
    <w:p w:rsidR="00F37ABF" w:rsidRDefault="00F37ABF" w:rsidP="0022378B">
      <w:pPr>
        <w:pStyle w:val="Odstavecseseznamem"/>
        <w:widowControl/>
        <w:numPr>
          <w:ilvl w:val="0"/>
          <w:numId w:val="40"/>
        </w:numPr>
        <w:adjustRightInd/>
        <w:spacing w:line="360" w:lineRule="auto"/>
        <w:jc w:val="left"/>
        <w:textAlignment w:val="auto"/>
      </w:pPr>
      <w:r>
        <w:t>V sekci nový certifikát nastavte přes atribut Vystaveno pro, nový certifikát DIS.CSSZ.</w:t>
      </w:r>
      <w:r w:rsidR="00C345B2">
        <w:t>2014</w:t>
      </w:r>
      <w:r>
        <w:t xml:space="preserve"> (kliknutím na tlačítko tři tečky a výběrem z přehledu).</w:t>
      </w:r>
    </w:p>
    <w:p w:rsidR="007E3DE3" w:rsidRPr="003B3762" w:rsidRDefault="00F37ABF" w:rsidP="0022378B">
      <w:pPr>
        <w:pStyle w:val="Odstavecseseznamem"/>
        <w:widowControl/>
        <w:numPr>
          <w:ilvl w:val="0"/>
          <w:numId w:val="40"/>
        </w:numPr>
        <w:adjustRightInd/>
        <w:spacing w:line="360" w:lineRule="auto"/>
        <w:jc w:val="left"/>
        <w:textAlignment w:val="auto"/>
      </w:pPr>
      <w:r>
        <w:t>Stiskněte tlačítko OK, následně se ve všech definicích zpráv přepíše certifikát DIS.CSSZ.</w:t>
      </w:r>
      <w:r w:rsidR="00C345B2">
        <w:t>2013</w:t>
      </w:r>
      <w:r w:rsidR="00190C3B">
        <w:t xml:space="preserve"> na DIS.CSSZ</w:t>
      </w:r>
      <w:r>
        <w:t>.</w:t>
      </w:r>
      <w:r w:rsidR="00C345B2">
        <w:t>2014</w:t>
      </w:r>
      <w:r>
        <w:t xml:space="preserve">. </w:t>
      </w:r>
    </w:p>
    <w:sectPr w:rsidR="007E3DE3" w:rsidRPr="003B3762" w:rsidSect="00BB2866">
      <w:headerReference w:type="default" r:id="rId35"/>
      <w:footerReference w:type="default" r:id="rId36"/>
      <w:pgSz w:w="11906" w:h="16838" w:code="9"/>
      <w:pgMar w:top="2835" w:right="1418" w:bottom="1985" w:left="851" w:header="454" w:footer="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059" w:rsidRDefault="00EE7059" w:rsidP="00277F02">
      <w:r>
        <w:separator/>
      </w:r>
    </w:p>
  </w:endnote>
  <w:endnote w:type="continuationSeparator" w:id="0">
    <w:p w:rsidR="00EE7059" w:rsidRDefault="00EE7059" w:rsidP="00277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HelveticaNeueLT Pro 35 Th">
    <w:altName w:val="Arial"/>
    <w:panose1 w:val="00000000000000000000"/>
    <w:charset w:val="00"/>
    <w:family w:val="swiss"/>
    <w:notTrueType/>
    <w:pitch w:val="variable"/>
    <w:sig w:usb0="00000001" w:usb1="5000205B" w:usb2="00000000" w:usb3="00000000" w:csb0="0000009B" w:csb1="00000000"/>
  </w:font>
  <w:font w:name="Verdan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D88" w:rsidRPr="00794E4F" w:rsidRDefault="00742D88" w:rsidP="007D4559">
    <w:pPr>
      <w:pStyle w:val="Zpat"/>
      <w:rPr>
        <w:color w:val="1F497D"/>
      </w:rPr>
    </w:pPr>
    <w:r w:rsidRPr="008F1852">
      <w:rPr>
        <w:noProof/>
        <w:color w:val="1F497D"/>
      </w:rPr>
      <w:drawing>
        <wp:anchor distT="0" distB="0" distL="114300" distR="114300" simplePos="0" relativeHeight="251661312" behindDoc="1" locked="0" layoutInCell="1" allowOverlap="1" wp14:anchorId="4554B438" wp14:editId="5D929DE9">
          <wp:simplePos x="0" y="0"/>
          <wp:positionH relativeFrom="column">
            <wp:posOffset>-273685</wp:posOffset>
          </wp:positionH>
          <wp:positionV relativeFrom="paragraph">
            <wp:posOffset>-154940</wp:posOffset>
          </wp:positionV>
          <wp:extent cx="7038975" cy="533400"/>
          <wp:effectExtent l="0" t="0" r="0" b="0"/>
          <wp:wrapNone/>
          <wp:docPr id="9" name="obrázek 9"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line"/>
                  <pic:cNvPicPr>
                    <a:picLocks noChangeAspect="1" noChangeArrowheads="1"/>
                  </pic:cNvPicPr>
                </pic:nvPicPr>
                <pic:blipFill>
                  <a:blip r:embed="rId1"/>
                  <a:srcRect/>
                  <a:stretch>
                    <a:fillRect/>
                  </a:stretch>
                </pic:blipFill>
                <pic:spPr bwMode="auto">
                  <a:xfrm>
                    <a:off x="0" y="0"/>
                    <a:ext cx="7038975" cy="533400"/>
                  </a:xfrm>
                  <a:prstGeom prst="rect">
                    <a:avLst/>
                  </a:prstGeom>
                  <a:noFill/>
                  <a:ln w="9525">
                    <a:noFill/>
                    <a:miter lim="800000"/>
                    <a:headEnd/>
                    <a:tailEnd/>
                  </a:ln>
                </pic:spPr>
              </pic:pic>
            </a:graphicData>
          </a:graphic>
        </wp:anchor>
      </w:drawing>
    </w:r>
  </w:p>
  <w:tbl>
    <w:tblPr>
      <w:tblW w:w="11258" w:type="dxa"/>
      <w:tblInd w:w="-176" w:type="dxa"/>
      <w:tblLook w:val="0600" w:firstRow="0" w:lastRow="0" w:firstColumn="0" w:lastColumn="0" w:noHBand="1" w:noVBand="1"/>
    </w:tblPr>
    <w:tblGrid>
      <w:gridCol w:w="10564"/>
      <w:gridCol w:w="222"/>
      <w:gridCol w:w="236"/>
      <w:gridCol w:w="236"/>
    </w:tblGrid>
    <w:tr w:rsidR="00742D88" w:rsidRPr="00A35721" w:rsidTr="007759E0">
      <w:trPr>
        <w:trHeight w:val="1252"/>
      </w:trPr>
      <w:tc>
        <w:tcPr>
          <w:tcW w:w="10564" w:type="dxa"/>
        </w:tcPr>
        <w:tbl>
          <w:tblPr>
            <w:tblW w:w="10348" w:type="dxa"/>
            <w:tblLook w:val="04A0" w:firstRow="1" w:lastRow="0" w:firstColumn="1" w:lastColumn="0" w:noHBand="0" w:noVBand="1"/>
          </w:tblPr>
          <w:tblGrid>
            <w:gridCol w:w="2268"/>
            <w:gridCol w:w="2906"/>
            <w:gridCol w:w="2481"/>
            <w:gridCol w:w="2693"/>
          </w:tblGrid>
          <w:tr w:rsidR="00742D88" w:rsidRPr="00EE4695" w:rsidTr="00D8587C">
            <w:tc>
              <w:tcPr>
                <w:tcW w:w="2268" w:type="dxa"/>
                <w:shd w:val="clear" w:color="auto" w:fill="auto"/>
              </w:tcPr>
              <w:p w:rsidR="00742D88" w:rsidRPr="00EE4695" w:rsidRDefault="00742D88" w:rsidP="00D8587C">
                <w:pPr>
                  <w:pStyle w:val="BasicParagraph"/>
                  <w:ind w:left="33"/>
                  <w:rPr>
                    <w:rFonts w:ascii="Verdana" w:hAnsi="Verdana"/>
                    <w:color w:val="FF7700"/>
                    <w:sz w:val="16"/>
                    <w:szCs w:val="16"/>
                    <w:lang w:val="cs-CZ"/>
                  </w:rPr>
                </w:pPr>
                <w:r w:rsidRPr="00EE4695">
                  <w:rPr>
                    <w:rFonts w:ascii="Verdana" w:hAnsi="Verdana"/>
                    <w:color w:val="FF7700"/>
                    <w:sz w:val="16"/>
                    <w:szCs w:val="16"/>
                    <w:lang w:val="cs-CZ"/>
                  </w:rPr>
                  <w:t>Asseco Solutions, a.s.</w:t>
                </w:r>
                <w:r w:rsidRPr="00EE4695">
                  <w:rPr>
                    <w:rFonts w:ascii="Verdana" w:hAnsi="Verdana"/>
                    <w:color w:val="FF7700"/>
                    <w:sz w:val="16"/>
                    <w:szCs w:val="16"/>
                    <w:lang w:val="cs-CZ"/>
                  </w:rPr>
                  <w:br/>
                </w:r>
                <w:r w:rsidRPr="00BE28ED">
                  <w:rPr>
                    <w:rFonts w:ascii="Verdana" w:hAnsi="Verdana"/>
                    <w:color w:val="FF7700"/>
                    <w:sz w:val="16"/>
                    <w:szCs w:val="16"/>
                    <w:lang w:val="cs-CZ"/>
                  </w:rPr>
                  <w:t>Bratří Štefanů 60</w:t>
                </w:r>
                <w:r w:rsidRPr="00EE4695">
                  <w:rPr>
                    <w:rFonts w:ascii="Verdana" w:hAnsi="Verdana"/>
                    <w:color w:val="FF7700"/>
                    <w:sz w:val="16"/>
                    <w:szCs w:val="16"/>
                    <w:lang w:val="cs-CZ"/>
                  </w:rPr>
                  <w:br/>
                </w:r>
                <w:r w:rsidRPr="00BE28ED">
                  <w:rPr>
                    <w:rFonts w:ascii="Verdana" w:hAnsi="Verdana"/>
                    <w:color w:val="FF7700"/>
                    <w:sz w:val="16"/>
                    <w:szCs w:val="16"/>
                    <w:lang w:val="cs-CZ"/>
                  </w:rPr>
                  <w:t>500 03 Hradec Králové</w:t>
                </w:r>
                <w:r w:rsidRPr="00EE4695">
                  <w:rPr>
                    <w:rFonts w:ascii="Verdana" w:hAnsi="Verdana"/>
                    <w:color w:val="FF7700"/>
                    <w:sz w:val="16"/>
                    <w:szCs w:val="16"/>
                    <w:lang w:val="cs-CZ"/>
                  </w:rPr>
                  <w:br/>
                  <w:t>Česká republika</w:t>
                </w:r>
              </w:p>
            </w:tc>
            <w:tc>
              <w:tcPr>
                <w:tcW w:w="2906" w:type="dxa"/>
                <w:shd w:val="clear" w:color="auto" w:fill="auto"/>
              </w:tcPr>
              <w:p w:rsidR="00742D88" w:rsidRPr="00EE4695" w:rsidRDefault="00742D88" w:rsidP="00C83F10">
                <w:pPr>
                  <w:pStyle w:val="BasicParagraph"/>
                  <w:rPr>
                    <w:rFonts w:ascii="Verdana" w:hAnsi="Verdana"/>
                    <w:color w:val="FF7700"/>
                    <w:sz w:val="16"/>
                    <w:szCs w:val="16"/>
                    <w:lang w:val="cs-CZ"/>
                  </w:rPr>
                </w:pPr>
                <w:r w:rsidRPr="00EE4695">
                  <w:rPr>
                    <w:rFonts w:ascii="Verdana" w:hAnsi="Verdana"/>
                    <w:color w:val="FF7700"/>
                    <w:sz w:val="16"/>
                    <w:szCs w:val="16"/>
                    <w:lang w:val="cs-CZ"/>
                  </w:rPr>
                  <w:t xml:space="preserve">Tel.: +420 </w:t>
                </w:r>
                <w:r w:rsidRPr="00BE28ED">
                  <w:rPr>
                    <w:rFonts w:ascii="Verdana" w:hAnsi="Verdana"/>
                    <w:color w:val="FF7700"/>
                    <w:sz w:val="16"/>
                    <w:szCs w:val="16"/>
                    <w:lang w:val="cs-CZ"/>
                  </w:rPr>
                  <w:t>495 809 211</w:t>
                </w:r>
                <w:r w:rsidRPr="00EE4695">
                  <w:rPr>
                    <w:rFonts w:ascii="Verdana" w:hAnsi="Verdana"/>
                    <w:color w:val="FF7700"/>
                    <w:sz w:val="16"/>
                    <w:szCs w:val="16"/>
                    <w:lang w:val="cs-CZ"/>
                  </w:rPr>
                  <w:br/>
                  <w:t xml:space="preserve">Fax: +420 </w:t>
                </w:r>
                <w:r w:rsidRPr="00BE28ED">
                  <w:rPr>
                    <w:rFonts w:ascii="Verdana" w:hAnsi="Verdana"/>
                    <w:color w:val="FF7700"/>
                    <w:sz w:val="16"/>
                    <w:szCs w:val="16"/>
                    <w:lang w:val="cs-CZ"/>
                  </w:rPr>
                  <w:t>495 809 212</w:t>
                </w:r>
                <w:r w:rsidRPr="00EE4695">
                  <w:rPr>
                    <w:rFonts w:ascii="Verdana" w:hAnsi="Verdana"/>
                    <w:color w:val="FF7700"/>
                    <w:sz w:val="16"/>
                    <w:szCs w:val="16"/>
                    <w:lang w:val="cs-CZ"/>
                  </w:rPr>
                  <w:br/>
                  <w:t xml:space="preserve">E-mail: </w:t>
                </w:r>
                <w:r>
                  <w:fldChar w:fldCharType="begin"/>
                </w:r>
                <w:r>
                  <w:instrText>HYP</w:instrText>
                </w:r>
                <w:r>
                  <w:fldChar w:fldCharType="begin"/>
                </w:r>
                <w:r>
                  <w:instrText xml:space="preserve">  </w:instrText>
                </w:r>
                <w:r>
                  <w:fldChar w:fldCharType="end"/>
                </w:r>
                <w:r>
                  <w:instrText>ERLINK "mailto:info@assecosol.cz"</w:instrText>
                </w:r>
                <w:r>
                  <w:fldChar w:fldCharType="separate"/>
                </w:r>
                <w:r>
                  <w:rPr>
                    <w:rFonts w:ascii="Verdana" w:hAnsi="Verdana"/>
                    <w:color w:val="FF7700"/>
                    <w:sz w:val="16"/>
                    <w:szCs w:val="16"/>
                    <w:lang w:val="cs-CZ"/>
                  </w:rPr>
                  <w:t>info@assecosol.eu</w:t>
                </w:r>
                <w:r>
                  <w:fldChar w:fldCharType="end"/>
                </w:r>
                <w:r w:rsidRPr="00EE4695">
                  <w:rPr>
                    <w:rFonts w:ascii="Verdana" w:hAnsi="Verdana"/>
                    <w:color w:val="FF7700"/>
                    <w:sz w:val="16"/>
                    <w:szCs w:val="16"/>
                    <w:lang w:val="cs-CZ"/>
                  </w:rPr>
                  <w:br/>
                  <w:t>www.AssecoSolutions.eu</w:t>
                </w:r>
              </w:p>
            </w:tc>
            <w:tc>
              <w:tcPr>
                <w:tcW w:w="2481" w:type="dxa"/>
                <w:shd w:val="clear" w:color="auto" w:fill="auto"/>
              </w:tcPr>
              <w:p w:rsidR="00742D88" w:rsidRPr="00EE4695" w:rsidRDefault="00742D88" w:rsidP="00C83F10">
                <w:pPr>
                  <w:pStyle w:val="BasicParagraph"/>
                  <w:rPr>
                    <w:rFonts w:ascii="Verdana" w:hAnsi="Verdana"/>
                    <w:color w:val="FF7700"/>
                    <w:sz w:val="16"/>
                    <w:szCs w:val="16"/>
                    <w:lang w:val="cs-CZ"/>
                  </w:rPr>
                </w:pPr>
                <w:r w:rsidRPr="00EE4695">
                  <w:rPr>
                    <w:rFonts w:ascii="Verdana" w:hAnsi="Verdana"/>
                    <w:color w:val="FF7700"/>
                    <w:sz w:val="16"/>
                    <w:szCs w:val="16"/>
                    <w:lang w:val="cs-CZ"/>
                  </w:rPr>
                  <w:t>IČO: 64949541</w:t>
                </w:r>
                <w:r w:rsidRPr="00EE4695">
                  <w:rPr>
                    <w:rFonts w:ascii="Verdana" w:hAnsi="Verdana"/>
                    <w:color w:val="FF7700"/>
                    <w:sz w:val="16"/>
                    <w:szCs w:val="16"/>
                    <w:lang w:val="cs-CZ"/>
                  </w:rPr>
                  <w:br/>
                  <w:t>DIČ: CZ64949541</w:t>
                </w:r>
                <w:r w:rsidRPr="00EE4695">
                  <w:rPr>
                    <w:rFonts w:ascii="Verdana" w:hAnsi="Verdana"/>
                    <w:color w:val="FF7700"/>
                    <w:sz w:val="16"/>
                    <w:szCs w:val="16"/>
                    <w:lang w:val="cs-CZ"/>
                  </w:rPr>
                  <w:br/>
                  <w:t>Bankovní spojení: ČSOB</w:t>
                </w:r>
                <w:r w:rsidRPr="00EE4695">
                  <w:rPr>
                    <w:rFonts w:ascii="Verdana" w:hAnsi="Verdana"/>
                    <w:color w:val="FF7700"/>
                    <w:sz w:val="16"/>
                    <w:szCs w:val="16"/>
                    <w:lang w:val="cs-CZ"/>
                  </w:rPr>
                  <w:br/>
                  <w:t>Číslo účtu: 11263671/0300</w:t>
                </w:r>
              </w:p>
            </w:tc>
            <w:tc>
              <w:tcPr>
                <w:tcW w:w="2693" w:type="dxa"/>
                <w:shd w:val="clear" w:color="auto" w:fill="auto"/>
              </w:tcPr>
              <w:p w:rsidR="00742D88" w:rsidRPr="00EE4695" w:rsidRDefault="00742D88" w:rsidP="007759E0">
                <w:pPr>
                  <w:pStyle w:val="BasicParagraph"/>
                  <w:ind w:firstLine="708"/>
                  <w:rPr>
                    <w:rFonts w:ascii="Verdana" w:hAnsi="Verdana"/>
                    <w:color w:val="FF7700"/>
                    <w:sz w:val="16"/>
                    <w:szCs w:val="16"/>
                    <w:lang w:val="cs-CZ"/>
                  </w:rPr>
                </w:pPr>
                <w:r>
                  <w:rPr>
                    <w:rFonts w:ascii="HelveticaNeueLT Pro 35 Th" w:hAnsi="HelveticaNeueLT Pro 35 Th"/>
                    <w:noProof/>
                    <w:color w:val="FF7700"/>
                    <w:sz w:val="16"/>
                    <w:szCs w:val="16"/>
                    <w:lang w:val="cs-CZ"/>
                  </w:rPr>
                  <w:drawing>
                    <wp:inline distT="0" distB="0" distL="0" distR="0" wp14:anchorId="1279E482" wp14:editId="69400339">
                      <wp:extent cx="428625" cy="428625"/>
                      <wp:effectExtent l="0" t="0" r="0" b="0"/>
                      <wp:docPr id="4" name="obrázek 1" descr="gfx-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x-02"/>
                              <pic:cNvPicPr>
                                <a:picLocks noChangeAspect="1" noChangeArrowheads="1"/>
                              </pic:cNvPicPr>
                            </pic:nvPicPr>
                            <pic:blipFill>
                              <a:blip r:embed="rId2"/>
                              <a:srcRect r="60869" b="6145"/>
                              <a:stretch>
                                <a:fillRect/>
                              </a:stretch>
                            </pic:blipFill>
                            <pic:spPr bwMode="auto">
                              <a:xfrm>
                                <a:off x="0" y="0"/>
                                <a:ext cx="428625" cy="428625"/>
                              </a:xfrm>
                              <a:prstGeom prst="rect">
                                <a:avLst/>
                              </a:prstGeom>
                              <a:noFill/>
                              <a:ln w="9525">
                                <a:noFill/>
                                <a:miter lim="800000"/>
                                <a:headEnd/>
                                <a:tailEnd/>
                              </a:ln>
                            </pic:spPr>
                          </pic:pic>
                        </a:graphicData>
                      </a:graphic>
                    </wp:inline>
                  </w:drawing>
                </w:r>
                <w:r w:rsidRPr="00A94200">
                  <w:rPr>
                    <w:rFonts w:ascii="HelveticaNeueLT Pro 35 Th" w:hAnsi="HelveticaNeueLT Pro 35 Th"/>
                    <w:color w:val="A6A6A6"/>
                    <w:lang w:val="cs-CZ"/>
                  </w:rPr>
                  <w:t xml:space="preserve"> </w:t>
                </w:r>
                <w:r w:rsidRPr="000F1B74">
                  <w:rPr>
                    <w:rFonts w:ascii="HelveticaNeueLT Pro 35 Th" w:hAnsi="HelveticaNeueLT Pro 35 Th"/>
                    <w:color w:val="FF7700"/>
                    <w:lang w:val="cs-CZ"/>
                  </w:rPr>
                  <w:fldChar w:fldCharType="begin"/>
                </w:r>
                <w:r w:rsidRPr="000F1B74">
                  <w:rPr>
                    <w:rFonts w:ascii="HelveticaNeueLT Pro 35 Th" w:hAnsi="HelveticaNeueLT Pro 35 Th"/>
                    <w:color w:val="FF7700"/>
                    <w:lang w:val="cs-CZ"/>
                  </w:rPr>
                  <w:instrText>PAGE   \* MERGEFORMAT</w:instrText>
                </w:r>
                <w:r w:rsidRPr="000F1B74">
                  <w:rPr>
                    <w:rFonts w:ascii="HelveticaNeueLT Pro 35 Th" w:hAnsi="HelveticaNeueLT Pro 35 Th"/>
                    <w:color w:val="FF7700"/>
                    <w:lang w:val="cs-CZ"/>
                  </w:rPr>
                  <w:fldChar w:fldCharType="separate"/>
                </w:r>
                <w:r w:rsidR="008148E6">
                  <w:rPr>
                    <w:rFonts w:ascii="HelveticaNeueLT Pro 35 Th" w:hAnsi="HelveticaNeueLT Pro 35 Th"/>
                    <w:noProof/>
                    <w:color w:val="FF7700"/>
                    <w:lang w:val="cs-CZ"/>
                  </w:rPr>
                  <w:t>9</w:t>
                </w:r>
                <w:r w:rsidRPr="000F1B74">
                  <w:rPr>
                    <w:rFonts w:ascii="HelveticaNeueLT Pro 35 Th" w:hAnsi="HelveticaNeueLT Pro 35 Th"/>
                    <w:color w:val="FF7700"/>
                    <w:lang w:val="cs-CZ"/>
                  </w:rPr>
                  <w:fldChar w:fldCharType="end"/>
                </w:r>
              </w:p>
            </w:tc>
          </w:tr>
        </w:tbl>
        <w:p w:rsidR="00742D88" w:rsidRPr="00A35721" w:rsidRDefault="00742D88" w:rsidP="00A35721">
          <w:pPr>
            <w:autoSpaceDE w:val="0"/>
            <w:autoSpaceDN w:val="0"/>
            <w:rPr>
              <w:rFonts w:cs="Verdana-Bold"/>
              <w:b/>
              <w:bCs/>
              <w:color w:val="1F497D"/>
              <w:sz w:val="14"/>
              <w:szCs w:val="14"/>
            </w:rPr>
          </w:pPr>
        </w:p>
      </w:tc>
      <w:tc>
        <w:tcPr>
          <w:tcW w:w="222" w:type="dxa"/>
        </w:tcPr>
        <w:p w:rsidR="00742D88" w:rsidRPr="00A35721" w:rsidRDefault="00742D88" w:rsidP="00A35721">
          <w:pPr>
            <w:autoSpaceDE w:val="0"/>
            <w:autoSpaceDN w:val="0"/>
            <w:rPr>
              <w:rFonts w:cs="Verdana-Bold"/>
              <w:b/>
              <w:bCs/>
              <w:color w:val="1F497D"/>
              <w:sz w:val="14"/>
              <w:szCs w:val="14"/>
            </w:rPr>
          </w:pPr>
        </w:p>
      </w:tc>
      <w:tc>
        <w:tcPr>
          <w:tcW w:w="236" w:type="dxa"/>
        </w:tcPr>
        <w:p w:rsidR="00742D88" w:rsidRPr="00A35721" w:rsidRDefault="00742D88" w:rsidP="00A35721">
          <w:pPr>
            <w:autoSpaceDE w:val="0"/>
            <w:autoSpaceDN w:val="0"/>
            <w:rPr>
              <w:rFonts w:cs="Verdana-Bold"/>
              <w:b/>
              <w:bCs/>
              <w:color w:val="1F497D"/>
              <w:sz w:val="14"/>
              <w:szCs w:val="14"/>
            </w:rPr>
          </w:pPr>
        </w:p>
      </w:tc>
      <w:tc>
        <w:tcPr>
          <w:tcW w:w="236" w:type="dxa"/>
        </w:tcPr>
        <w:p w:rsidR="00742D88" w:rsidRPr="00A35721" w:rsidRDefault="00742D88" w:rsidP="00A35721">
          <w:pPr>
            <w:autoSpaceDE w:val="0"/>
            <w:autoSpaceDN w:val="0"/>
            <w:rPr>
              <w:rFonts w:cs="Verdana-Bold"/>
              <w:b/>
              <w:bCs/>
              <w:color w:val="1F497D"/>
              <w:sz w:val="14"/>
              <w:szCs w:val="14"/>
            </w:rPr>
          </w:pPr>
        </w:p>
      </w:tc>
    </w:tr>
  </w:tbl>
  <w:p w:rsidR="00742D88" w:rsidRDefault="00742D88" w:rsidP="007D4559">
    <w:pPr>
      <w:pStyle w:val="Zpat"/>
    </w:pPr>
  </w:p>
  <w:p w:rsidR="00742D88" w:rsidRDefault="00742D88" w:rsidP="007D455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059" w:rsidRDefault="00EE7059" w:rsidP="00277F02">
      <w:r>
        <w:separator/>
      </w:r>
    </w:p>
  </w:footnote>
  <w:footnote w:type="continuationSeparator" w:id="0">
    <w:p w:rsidR="00EE7059" w:rsidRDefault="00EE7059" w:rsidP="00277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D88" w:rsidRPr="00B84D10" w:rsidRDefault="00742D88" w:rsidP="00B84D10">
    <w:pPr>
      <w:pStyle w:val="Zhlav"/>
    </w:pPr>
    <w:r w:rsidRPr="00D8587C">
      <w:rPr>
        <w:noProof/>
      </w:rPr>
      <w:drawing>
        <wp:anchor distT="0" distB="0" distL="114300" distR="114300" simplePos="0" relativeHeight="251659264" behindDoc="0" locked="0" layoutInCell="1" allowOverlap="1">
          <wp:simplePos x="0" y="0"/>
          <wp:positionH relativeFrom="column">
            <wp:posOffset>4355465</wp:posOffset>
          </wp:positionH>
          <wp:positionV relativeFrom="paragraph">
            <wp:posOffset>207010</wp:posOffset>
          </wp:positionV>
          <wp:extent cx="2314575" cy="657225"/>
          <wp:effectExtent l="0" t="0" r="0" b="0"/>
          <wp:wrapNone/>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314575" cy="6572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6A8D6A"/>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CA76CD36"/>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3ABA45FA"/>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16FC331E"/>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BA4C9D38"/>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CA525166"/>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8E44432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F5D0E8A4"/>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2FF071F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FF4CD42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4367FD7"/>
    <w:multiLevelType w:val="hybridMultilevel"/>
    <w:tmpl w:val="3B4415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B320B55"/>
    <w:multiLevelType w:val="hybridMultilevel"/>
    <w:tmpl w:val="E5FC92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D062F9A"/>
    <w:multiLevelType w:val="hybridMultilevel"/>
    <w:tmpl w:val="AEF213B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3BB6C13"/>
    <w:multiLevelType w:val="hybridMultilevel"/>
    <w:tmpl w:val="D75A0EDA"/>
    <w:lvl w:ilvl="0" w:tplc="5D0C269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2C823E14"/>
    <w:multiLevelType w:val="hybridMultilevel"/>
    <w:tmpl w:val="A64EB05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nsid w:val="2E7F6743"/>
    <w:multiLevelType w:val="multilevel"/>
    <w:tmpl w:val="963C184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6">
    <w:nsid w:val="2FAB7751"/>
    <w:multiLevelType w:val="hybridMultilevel"/>
    <w:tmpl w:val="3B884F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155522E"/>
    <w:multiLevelType w:val="hybridMultilevel"/>
    <w:tmpl w:val="CC36D2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34E02BA"/>
    <w:multiLevelType w:val="hybridMultilevel"/>
    <w:tmpl w:val="943641EC"/>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79B72B6"/>
    <w:multiLevelType w:val="hybridMultilevel"/>
    <w:tmpl w:val="ECD2C06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nsid w:val="3CA7115C"/>
    <w:multiLevelType w:val="hybridMultilevel"/>
    <w:tmpl w:val="5A526C42"/>
    <w:lvl w:ilvl="0" w:tplc="04050001">
      <w:start w:val="1"/>
      <w:numFmt w:val="bullet"/>
      <w:lvlText w:val=""/>
      <w:lvlJc w:val="left"/>
      <w:pPr>
        <w:ind w:left="788" w:hanging="360"/>
      </w:pPr>
      <w:rPr>
        <w:rFonts w:ascii="Symbol" w:hAnsi="Symbol" w:hint="default"/>
      </w:rPr>
    </w:lvl>
    <w:lvl w:ilvl="1" w:tplc="04050003" w:tentative="1">
      <w:start w:val="1"/>
      <w:numFmt w:val="bullet"/>
      <w:lvlText w:val="o"/>
      <w:lvlJc w:val="left"/>
      <w:pPr>
        <w:ind w:left="1508" w:hanging="360"/>
      </w:pPr>
      <w:rPr>
        <w:rFonts w:ascii="Courier New" w:hAnsi="Courier New" w:cs="Courier New" w:hint="default"/>
      </w:rPr>
    </w:lvl>
    <w:lvl w:ilvl="2" w:tplc="04050005" w:tentative="1">
      <w:start w:val="1"/>
      <w:numFmt w:val="bullet"/>
      <w:lvlText w:val=""/>
      <w:lvlJc w:val="left"/>
      <w:pPr>
        <w:ind w:left="2228" w:hanging="360"/>
      </w:pPr>
      <w:rPr>
        <w:rFonts w:ascii="Wingdings" w:hAnsi="Wingdings" w:hint="default"/>
      </w:rPr>
    </w:lvl>
    <w:lvl w:ilvl="3" w:tplc="04050001" w:tentative="1">
      <w:start w:val="1"/>
      <w:numFmt w:val="bullet"/>
      <w:lvlText w:val=""/>
      <w:lvlJc w:val="left"/>
      <w:pPr>
        <w:ind w:left="2948" w:hanging="360"/>
      </w:pPr>
      <w:rPr>
        <w:rFonts w:ascii="Symbol" w:hAnsi="Symbol" w:hint="default"/>
      </w:rPr>
    </w:lvl>
    <w:lvl w:ilvl="4" w:tplc="04050003" w:tentative="1">
      <w:start w:val="1"/>
      <w:numFmt w:val="bullet"/>
      <w:lvlText w:val="o"/>
      <w:lvlJc w:val="left"/>
      <w:pPr>
        <w:ind w:left="3668" w:hanging="360"/>
      </w:pPr>
      <w:rPr>
        <w:rFonts w:ascii="Courier New" w:hAnsi="Courier New" w:cs="Courier New" w:hint="default"/>
      </w:rPr>
    </w:lvl>
    <w:lvl w:ilvl="5" w:tplc="04050005" w:tentative="1">
      <w:start w:val="1"/>
      <w:numFmt w:val="bullet"/>
      <w:lvlText w:val=""/>
      <w:lvlJc w:val="left"/>
      <w:pPr>
        <w:ind w:left="4388" w:hanging="360"/>
      </w:pPr>
      <w:rPr>
        <w:rFonts w:ascii="Wingdings" w:hAnsi="Wingdings" w:hint="default"/>
      </w:rPr>
    </w:lvl>
    <w:lvl w:ilvl="6" w:tplc="04050001" w:tentative="1">
      <w:start w:val="1"/>
      <w:numFmt w:val="bullet"/>
      <w:lvlText w:val=""/>
      <w:lvlJc w:val="left"/>
      <w:pPr>
        <w:ind w:left="5108" w:hanging="360"/>
      </w:pPr>
      <w:rPr>
        <w:rFonts w:ascii="Symbol" w:hAnsi="Symbol" w:hint="default"/>
      </w:rPr>
    </w:lvl>
    <w:lvl w:ilvl="7" w:tplc="04050003" w:tentative="1">
      <w:start w:val="1"/>
      <w:numFmt w:val="bullet"/>
      <w:lvlText w:val="o"/>
      <w:lvlJc w:val="left"/>
      <w:pPr>
        <w:ind w:left="5828" w:hanging="360"/>
      </w:pPr>
      <w:rPr>
        <w:rFonts w:ascii="Courier New" w:hAnsi="Courier New" w:cs="Courier New" w:hint="default"/>
      </w:rPr>
    </w:lvl>
    <w:lvl w:ilvl="8" w:tplc="04050005" w:tentative="1">
      <w:start w:val="1"/>
      <w:numFmt w:val="bullet"/>
      <w:lvlText w:val=""/>
      <w:lvlJc w:val="left"/>
      <w:pPr>
        <w:ind w:left="6548" w:hanging="360"/>
      </w:pPr>
      <w:rPr>
        <w:rFonts w:ascii="Wingdings" w:hAnsi="Wingdings" w:hint="default"/>
      </w:rPr>
    </w:lvl>
  </w:abstractNum>
  <w:abstractNum w:abstractNumId="21">
    <w:nsid w:val="4520294E"/>
    <w:multiLevelType w:val="multilevel"/>
    <w:tmpl w:val="222AEBDA"/>
    <w:lvl w:ilvl="0">
      <w:start w:val="1"/>
      <w:numFmt w:val="decimal"/>
      <w:pStyle w:val="Smlouvalnek"/>
      <w:suff w:val="space"/>
      <w:lvlText w:val="%1."/>
      <w:lvlJc w:val="left"/>
      <w:pPr>
        <w:ind w:left="900" w:hanging="360"/>
      </w:pPr>
      <w:rPr>
        <w:rFonts w:hint="default"/>
      </w:rPr>
    </w:lvl>
    <w:lvl w:ilvl="1">
      <w:start w:val="1"/>
      <w:numFmt w:val="decimal"/>
      <w:pStyle w:val="Smlouvaodstavec"/>
      <w:suff w:val="space"/>
      <w:lvlText w:val="%1.%2."/>
      <w:lvlJc w:val="left"/>
      <w:pPr>
        <w:ind w:left="994" w:hanging="94"/>
      </w:pPr>
      <w:rPr>
        <w:rFonts w:hint="default"/>
      </w:rPr>
    </w:lvl>
    <w:lvl w:ilvl="2">
      <w:start w:val="1"/>
      <w:numFmt w:val="decimal"/>
      <w:lvlText w:val="%1.%2.%3."/>
      <w:lvlJc w:val="left"/>
      <w:pPr>
        <w:tabs>
          <w:tab w:val="num" w:pos="1764"/>
        </w:tabs>
        <w:ind w:left="1764" w:hanging="504"/>
      </w:pPr>
      <w:rPr>
        <w:rFonts w:hint="default"/>
      </w:rPr>
    </w:lvl>
    <w:lvl w:ilvl="3">
      <w:start w:val="1"/>
      <w:numFmt w:val="decimal"/>
      <w:lvlText w:val="%1.%2.%3.%4."/>
      <w:lvlJc w:val="left"/>
      <w:pPr>
        <w:tabs>
          <w:tab w:val="num" w:pos="2340"/>
        </w:tabs>
        <w:ind w:left="2268" w:hanging="648"/>
      </w:pPr>
      <w:rPr>
        <w:rFonts w:hint="default"/>
      </w:rPr>
    </w:lvl>
    <w:lvl w:ilvl="4">
      <w:start w:val="1"/>
      <w:numFmt w:val="decimal"/>
      <w:lvlText w:val="%1.%2.%3.%4.%5."/>
      <w:lvlJc w:val="left"/>
      <w:pPr>
        <w:tabs>
          <w:tab w:val="num" w:pos="3060"/>
        </w:tabs>
        <w:ind w:left="2772" w:hanging="792"/>
      </w:pPr>
      <w:rPr>
        <w:rFonts w:hint="default"/>
      </w:rPr>
    </w:lvl>
    <w:lvl w:ilvl="5">
      <w:start w:val="1"/>
      <w:numFmt w:val="decimal"/>
      <w:lvlText w:val="%1.%2.%3.%4.%5.%6."/>
      <w:lvlJc w:val="left"/>
      <w:pPr>
        <w:tabs>
          <w:tab w:val="num" w:pos="3420"/>
        </w:tabs>
        <w:ind w:left="3276" w:hanging="936"/>
      </w:pPr>
      <w:rPr>
        <w:rFonts w:hint="default"/>
      </w:rPr>
    </w:lvl>
    <w:lvl w:ilvl="6">
      <w:start w:val="1"/>
      <w:numFmt w:val="decimal"/>
      <w:lvlText w:val="%1.%2.%3.%4.%5.%6.%7."/>
      <w:lvlJc w:val="left"/>
      <w:pPr>
        <w:tabs>
          <w:tab w:val="num" w:pos="4140"/>
        </w:tabs>
        <w:ind w:left="3780" w:hanging="1080"/>
      </w:pPr>
      <w:rPr>
        <w:rFonts w:hint="default"/>
      </w:rPr>
    </w:lvl>
    <w:lvl w:ilvl="7">
      <w:start w:val="1"/>
      <w:numFmt w:val="decimal"/>
      <w:lvlText w:val="%1.%2.%3.%4.%5.%6.%7.%8."/>
      <w:lvlJc w:val="left"/>
      <w:pPr>
        <w:tabs>
          <w:tab w:val="num" w:pos="4500"/>
        </w:tabs>
        <w:ind w:left="4284" w:hanging="1224"/>
      </w:pPr>
      <w:rPr>
        <w:rFonts w:hint="default"/>
      </w:rPr>
    </w:lvl>
    <w:lvl w:ilvl="8">
      <w:start w:val="1"/>
      <w:numFmt w:val="decimal"/>
      <w:lvlText w:val="%1.%2.%3.%4.%5.%6.%7.%8.%9."/>
      <w:lvlJc w:val="left"/>
      <w:pPr>
        <w:tabs>
          <w:tab w:val="num" w:pos="5220"/>
        </w:tabs>
        <w:ind w:left="4860" w:hanging="1440"/>
      </w:pPr>
      <w:rPr>
        <w:rFonts w:hint="default"/>
      </w:rPr>
    </w:lvl>
  </w:abstractNum>
  <w:abstractNum w:abstractNumId="22">
    <w:nsid w:val="527D3FF8"/>
    <w:multiLevelType w:val="hybridMultilevel"/>
    <w:tmpl w:val="7C3C95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4C4293C"/>
    <w:multiLevelType w:val="hybridMultilevel"/>
    <w:tmpl w:val="486811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54CA1089"/>
    <w:multiLevelType w:val="hybridMultilevel"/>
    <w:tmpl w:val="F8C8A270"/>
    <w:lvl w:ilvl="0" w:tplc="7A382B4E">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01">
      <w:start w:val="1"/>
      <w:numFmt w:val="bullet"/>
      <w:lvlText w:val=""/>
      <w:lvlJc w:val="left"/>
      <w:pPr>
        <w:ind w:left="2508" w:hanging="180"/>
      </w:pPr>
      <w:rPr>
        <w:rFonts w:ascii="Symbol" w:hAnsi="Symbol" w:hint="default"/>
      </w:r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nsid w:val="5B313A56"/>
    <w:multiLevelType w:val="hybridMultilevel"/>
    <w:tmpl w:val="834A43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BFD4B18"/>
    <w:multiLevelType w:val="multilevel"/>
    <w:tmpl w:val="9C5C0B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7">
    <w:nsid w:val="5D012D58"/>
    <w:multiLevelType w:val="hybridMultilevel"/>
    <w:tmpl w:val="F156FD1E"/>
    <w:lvl w:ilvl="0" w:tplc="04050001">
      <w:start w:val="1"/>
      <w:numFmt w:val="bullet"/>
      <w:lvlText w:val=""/>
      <w:lvlJc w:val="left"/>
      <w:pPr>
        <w:ind w:left="1068" w:hanging="360"/>
      </w:pPr>
      <w:rPr>
        <w:rFonts w:ascii="Symbol" w:hAnsi="Symbol" w:hint="default"/>
      </w:rPr>
    </w:lvl>
    <w:lvl w:ilvl="1" w:tplc="04050001">
      <w:start w:val="1"/>
      <w:numFmt w:val="bullet"/>
      <w:lvlText w:val=""/>
      <w:lvlJc w:val="left"/>
      <w:pPr>
        <w:ind w:left="1788" w:hanging="360"/>
      </w:pPr>
      <w:rPr>
        <w:rFonts w:ascii="Symbol" w:hAnsi="Symbol" w:hint="default"/>
      </w:rPr>
    </w:lvl>
    <w:lvl w:ilvl="2" w:tplc="04050001">
      <w:start w:val="1"/>
      <w:numFmt w:val="bullet"/>
      <w:lvlText w:val=""/>
      <w:lvlJc w:val="left"/>
      <w:pPr>
        <w:ind w:left="2508" w:hanging="180"/>
      </w:pPr>
      <w:rPr>
        <w:rFonts w:ascii="Symbol" w:hAnsi="Symbol" w:hint="default"/>
      </w:r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8">
    <w:nsid w:val="607116C2"/>
    <w:multiLevelType w:val="hybridMultilevel"/>
    <w:tmpl w:val="6F941F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08B7A42"/>
    <w:multiLevelType w:val="hybridMultilevel"/>
    <w:tmpl w:val="F93045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1A67A6E"/>
    <w:multiLevelType w:val="multilevel"/>
    <w:tmpl w:val="82B25F30"/>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68653C95"/>
    <w:multiLevelType w:val="hybridMultilevel"/>
    <w:tmpl w:val="9E2EE2EA"/>
    <w:lvl w:ilvl="0" w:tplc="04050001">
      <w:start w:val="1"/>
      <w:numFmt w:val="bullet"/>
      <w:lvlText w:val=""/>
      <w:lvlJc w:val="left"/>
      <w:pPr>
        <w:tabs>
          <w:tab w:val="num" w:pos="1004"/>
        </w:tabs>
        <w:ind w:left="1004" w:hanging="360"/>
      </w:pPr>
      <w:rPr>
        <w:rFonts w:ascii="Symbol" w:hAnsi="Symbol" w:hint="default"/>
      </w:rPr>
    </w:lvl>
    <w:lvl w:ilvl="1" w:tplc="0405000B">
      <w:start w:val="1"/>
      <w:numFmt w:val="bullet"/>
      <w:lvlText w:val=""/>
      <w:lvlJc w:val="left"/>
      <w:pPr>
        <w:tabs>
          <w:tab w:val="num" w:pos="1800"/>
        </w:tabs>
        <w:ind w:left="1800" w:hanging="360"/>
      </w:pPr>
      <w:rPr>
        <w:rFonts w:ascii="Wingdings" w:hAnsi="Wingdings"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2">
    <w:nsid w:val="6A5F10D9"/>
    <w:multiLevelType w:val="hybridMultilevel"/>
    <w:tmpl w:val="63649294"/>
    <w:lvl w:ilvl="0" w:tplc="D3668892">
      <w:start w:val="1"/>
      <w:numFmt w:val="upp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30"/>
  </w:num>
  <w:num w:numId="2">
    <w:abstractNumId w:val="8"/>
  </w:num>
  <w:num w:numId="3">
    <w:abstractNumId w:val="3"/>
  </w:num>
  <w:num w:numId="4">
    <w:abstractNumId w:val="2"/>
  </w:num>
  <w:num w:numId="5">
    <w:abstractNumId w:val="1"/>
  </w:num>
  <w:num w:numId="6">
    <w:abstractNumId w:val="0"/>
  </w:num>
  <w:num w:numId="7">
    <w:abstractNumId w:val="30"/>
  </w:num>
  <w:num w:numId="8">
    <w:abstractNumId w:val="30"/>
  </w:num>
  <w:num w:numId="9">
    <w:abstractNumId w:val="30"/>
  </w:num>
  <w:num w:numId="10">
    <w:abstractNumId w:val="30"/>
  </w:num>
  <w:num w:numId="11">
    <w:abstractNumId w:val="30"/>
  </w:num>
  <w:num w:numId="12">
    <w:abstractNumId w:val="30"/>
  </w:num>
  <w:num w:numId="13">
    <w:abstractNumId w:val="30"/>
  </w:num>
  <w:num w:numId="14">
    <w:abstractNumId w:val="9"/>
  </w:num>
  <w:num w:numId="15">
    <w:abstractNumId w:val="7"/>
  </w:num>
  <w:num w:numId="16">
    <w:abstractNumId w:val="6"/>
  </w:num>
  <w:num w:numId="17">
    <w:abstractNumId w:val="5"/>
  </w:num>
  <w:num w:numId="18">
    <w:abstractNumId w:val="4"/>
  </w:num>
  <w:num w:numId="19">
    <w:abstractNumId w:val="21"/>
  </w:num>
  <w:num w:numId="20">
    <w:abstractNumId w:val="21"/>
  </w:num>
  <w:num w:numId="21">
    <w:abstractNumId w:val="10"/>
  </w:num>
  <w:num w:numId="22">
    <w:abstractNumId w:val="31"/>
  </w:num>
  <w:num w:numId="23">
    <w:abstractNumId w:val="18"/>
  </w:num>
  <w:num w:numId="24">
    <w:abstractNumId w:val="28"/>
  </w:num>
  <w:num w:numId="25">
    <w:abstractNumId w:val="16"/>
  </w:num>
  <w:num w:numId="26">
    <w:abstractNumId w:val="25"/>
  </w:num>
  <w:num w:numId="27">
    <w:abstractNumId w:val="12"/>
  </w:num>
  <w:num w:numId="28">
    <w:abstractNumId w:val="23"/>
  </w:num>
  <w:num w:numId="29">
    <w:abstractNumId w:val="13"/>
  </w:num>
  <w:num w:numId="30">
    <w:abstractNumId w:val="19"/>
  </w:num>
  <w:num w:numId="31">
    <w:abstractNumId w:val="32"/>
  </w:num>
  <w:num w:numId="32">
    <w:abstractNumId w:val="27"/>
  </w:num>
  <w:num w:numId="33">
    <w:abstractNumId w:val="24"/>
  </w:num>
  <w:num w:numId="34">
    <w:abstractNumId w:val="26"/>
  </w:num>
  <w:num w:numId="35">
    <w:abstractNumId w:val="15"/>
  </w:num>
  <w:num w:numId="36">
    <w:abstractNumId w:val="17"/>
  </w:num>
  <w:num w:numId="37">
    <w:abstractNumId w:val="22"/>
  </w:num>
  <w:num w:numId="38">
    <w:abstractNumId w:val="20"/>
  </w:num>
  <w:num w:numId="39">
    <w:abstractNumId w:val="29"/>
  </w:num>
  <w:num w:numId="40">
    <w:abstractNumId w:val="11"/>
  </w:num>
  <w:num w:numId="41">
    <w:abstractNumId w:val="14"/>
  </w:num>
  <w:num w:numId="42">
    <w:abstractNumId w:val="30"/>
  </w:num>
  <w:num w:numId="43">
    <w:abstractNumId w:val="30"/>
  </w:num>
  <w:num w:numId="44">
    <w:abstractNumId w:val="30"/>
  </w:num>
  <w:num w:numId="45">
    <w:abstractNumId w:val="30"/>
  </w:num>
  <w:num w:numId="46">
    <w:abstractNumId w:val="30"/>
  </w:num>
  <w:num w:numId="47">
    <w:abstractNumId w:val="30"/>
  </w:num>
  <w:num w:numId="48">
    <w:abstractNumId w:val="30"/>
  </w:num>
  <w:num w:numId="49">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46D"/>
    <w:rsid w:val="00003BE3"/>
    <w:rsid w:val="00003C9D"/>
    <w:rsid w:val="00005E88"/>
    <w:rsid w:val="0001016C"/>
    <w:rsid w:val="0001121E"/>
    <w:rsid w:val="0001554A"/>
    <w:rsid w:val="000155BE"/>
    <w:rsid w:val="00016F4D"/>
    <w:rsid w:val="00020A50"/>
    <w:rsid w:val="0002179C"/>
    <w:rsid w:val="00022F27"/>
    <w:rsid w:val="00025C08"/>
    <w:rsid w:val="00027DDC"/>
    <w:rsid w:val="00031FCB"/>
    <w:rsid w:val="00043AF3"/>
    <w:rsid w:val="00046D7F"/>
    <w:rsid w:val="00051A04"/>
    <w:rsid w:val="00054A2A"/>
    <w:rsid w:val="00055DCD"/>
    <w:rsid w:val="00057D50"/>
    <w:rsid w:val="00062564"/>
    <w:rsid w:val="00065F12"/>
    <w:rsid w:val="000738E0"/>
    <w:rsid w:val="0007585F"/>
    <w:rsid w:val="000809DC"/>
    <w:rsid w:val="00095CEC"/>
    <w:rsid w:val="00097BF1"/>
    <w:rsid w:val="000A02C7"/>
    <w:rsid w:val="000A4A06"/>
    <w:rsid w:val="000B0003"/>
    <w:rsid w:val="000B146C"/>
    <w:rsid w:val="000B1E05"/>
    <w:rsid w:val="000B4CC9"/>
    <w:rsid w:val="000C5858"/>
    <w:rsid w:val="000C6D47"/>
    <w:rsid w:val="000D2CBA"/>
    <w:rsid w:val="000D43A1"/>
    <w:rsid w:val="000D6CC2"/>
    <w:rsid w:val="000D6EEE"/>
    <w:rsid w:val="000D7678"/>
    <w:rsid w:val="000E2BC8"/>
    <w:rsid w:val="000E69CD"/>
    <w:rsid w:val="000E793B"/>
    <w:rsid w:val="000F2BFA"/>
    <w:rsid w:val="000F6FC3"/>
    <w:rsid w:val="001036F1"/>
    <w:rsid w:val="001046BC"/>
    <w:rsid w:val="00105966"/>
    <w:rsid w:val="001142FE"/>
    <w:rsid w:val="0012070B"/>
    <w:rsid w:val="0012583B"/>
    <w:rsid w:val="00132B73"/>
    <w:rsid w:val="00135272"/>
    <w:rsid w:val="001360A9"/>
    <w:rsid w:val="001403C4"/>
    <w:rsid w:val="00141AD5"/>
    <w:rsid w:val="00142CF7"/>
    <w:rsid w:val="00155092"/>
    <w:rsid w:val="0016177B"/>
    <w:rsid w:val="001623EB"/>
    <w:rsid w:val="00162E19"/>
    <w:rsid w:val="0016416D"/>
    <w:rsid w:val="0016662E"/>
    <w:rsid w:val="00176850"/>
    <w:rsid w:val="0018120A"/>
    <w:rsid w:val="00182977"/>
    <w:rsid w:val="00184690"/>
    <w:rsid w:val="00187D0A"/>
    <w:rsid w:val="00190C3B"/>
    <w:rsid w:val="001915BA"/>
    <w:rsid w:val="00192721"/>
    <w:rsid w:val="001A58E4"/>
    <w:rsid w:val="001B0740"/>
    <w:rsid w:val="001B07F2"/>
    <w:rsid w:val="001B08A6"/>
    <w:rsid w:val="001C03D2"/>
    <w:rsid w:val="001C42BE"/>
    <w:rsid w:val="001C5D30"/>
    <w:rsid w:val="001C72F9"/>
    <w:rsid w:val="001D0BB8"/>
    <w:rsid w:val="001D1CA9"/>
    <w:rsid w:val="001D2F20"/>
    <w:rsid w:val="001D3775"/>
    <w:rsid w:val="001D395F"/>
    <w:rsid w:val="001F61E0"/>
    <w:rsid w:val="00200D35"/>
    <w:rsid w:val="00204050"/>
    <w:rsid w:val="00212A8A"/>
    <w:rsid w:val="002168A5"/>
    <w:rsid w:val="00220013"/>
    <w:rsid w:val="002208A3"/>
    <w:rsid w:val="0022378B"/>
    <w:rsid w:val="00225405"/>
    <w:rsid w:val="0023780D"/>
    <w:rsid w:val="0024340A"/>
    <w:rsid w:val="00245D72"/>
    <w:rsid w:val="002471EE"/>
    <w:rsid w:val="00247A38"/>
    <w:rsid w:val="00247F1F"/>
    <w:rsid w:val="00253575"/>
    <w:rsid w:val="002632C7"/>
    <w:rsid w:val="002665EF"/>
    <w:rsid w:val="00277F02"/>
    <w:rsid w:val="00285B69"/>
    <w:rsid w:val="00291839"/>
    <w:rsid w:val="002A1596"/>
    <w:rsid w:val="002A1C02"/>
    <w:rsid w:val="002A5096"/>
    <w:rsid w:val="002B3C7E"/>
    <w:rsid w:val="002C106E"/>
    <w:rsid w:val="002D7CFD"/>
    <w:rsid w:val="002E1DB8"/>
    <w:rsid w:val="002F03C0"/>
    <w:rsid w:val="002F17B4"/>
    <w:rsid w:val="003020B9"/>
    <w:rsid w:val="0030255F"/>
    <w:rsid w:val="00303134"/>
    <w:rsid w:val="0030390D"/>
    <w:rsid w:val="003052AA"/>
    <w:rsid w:val="003112B7"/>
    <w:rsid w:val="003124AF"/>
    <w:rsid w:val="00313334"/>
    <w:rsid w:val="00314F36"/>
    <w:rsid w:val="0031601A"/>
    <w:rsid w:val="00316855"/>
    <w:rsid w:val="00317760"/>
    <w:rsid w:val="0032506F"/>
    <w:rsid w:val="00330E68"/>
    <w:rsid w:val="003338F6"/>
    <w:rsid w:val="00333BA1"/>
    <w:rsid w:val="00361C5D"/>
    <w:rsid w:val="0036365C"/>
    <w:rsid w:val="00363F26"/>
    <w:rsid w:val="00365244"/>
    <w:rsid w:val="003707AD"/>
    <w:rsid w:val="00371B87"/>
    <w:rsid w:val="003811F2"/>
    <w:rsid w:val="00394012"/>
    <w:rsid w:val="003967D4"/>
    <w:rsid w:val="003A73E8"/>
    <w:rsid w:val="003B1461"/>
    <w:rsid w:val="003B3762"/>
    <w:rsid w:val="003B3889"/>
    <w:rsid w:val="003B474B"/>
    <w:rsid w:val="003C4D9B"/>
    <w:rsid w:val="003C61F3"/>
    <w:rsid w:val="003C6DFE"/>
    <w:rsid w:val="003D0BD3"/>
    <w:rsid w:val="003D0F86"/>
    <w:rsid w:val="003E164D"/>
    <w:rsid w:val="003E4799"/>
    <w:rsid w:val="003F0CE3"/>
    <w:rsid w:val="00415E74"/>
    <w:rsid w:val="004200E9"/>
    <w:rsid w:val="00423293"/>
    <w:rsid w:val="0042456A"/>
    <w:rsid w:val="00425093"/>
    <w:rsid w:val="00430E86"/>
    <w:rsid w:val="004329B3"/>
    <w:rsid w:val="004422D9"/>
    <w:rsid w:val="00442F88"/>
    <w:rsid w:val="00444E0B"/>
    <w:rsid w:val="004454DB"/>
    <w:rsid w:val="00445BBD"/>
    <w:rsid w:val="004535A7"/>
    <w:rsid w:val="00457F36"/>
    <w:rsid w:val="004609DF"/>
    <w:rsid w:val="00461EC7"/>
    <w:rsid w:val="00473053"/>
    <w:rsid w:val="00487451"/>
    <w:rsid w:val="004924FC"/>
    <w:rsid w:val="004A2877"/>
    <w:rsid w:val="004A29B6"/>
    <w:rsid w:val="004A3763"/>
    <w:rsid w:val="004B2AE2"/>
    <w:rsid w:val="004B5E50"/>
    <w:rsid w:val="004B6B00"/>
    <w:rsid w:val="004D0856"/>
    <w:rsid w:val="004D70B9"/>
    <w:rsid w:val="004E33E8"/>
    <w:rsid w:val="004E546F"/>
    <w:rsid w:val="004E69BC"/>
    <w:rsid w:val="004F03FE"/>
    <w:rsid w:val="004F29BD"/>
    <w:rsid w:val="00503982"/>
    <w:rsid w:val="00504E3F"/>
    <w:rsid w:val="00506998"/>
    <w:rsid w:val="0051015D"/>
    <w:rsid w:val="00513699"/>
    <w:rsid w:val="00516DB9"/>
    <w:rsid w:val="0052260A"/>
    <w:rsid w:val="00523E95"/>
    <w:rsid w:val="00526C7F"/>
    <w:rsid w:val="0053239B"/>
    <w:rsid w:val="005342CD"/>
    <w:rsid w:val="00536A16"/>
    <w:rsid w:val="005372FF"/>
    <w:rsid w:val="00542173"/>
    <w:rsid w:val="005432DE"/>
    <w:rsid w:val="00545FDE"/>
    <w:rsid w:val="00566BC5"/>
    <w:rsid w:val="005679B5"/>
    <w:rsid w:val="005758CA"/>
    <w:rsid w:val="005918EA"/>
    <w:rsid w:val="00593052"/>
    <w:rsid w:val="00593B36"/>
    <w:rsid w:val="00595C2B"/>
    <w:rsid w:val="00597201"/>
    <w:rsid w:val="00597670"/>
    <w:rsid w:val="005A03CD"/>
    <w:rsid w:val="005A0905"/>
    <w:rsid w:val="005A1335"/>
    <w:rsid w:val="005A1AE7"/>
    <w:rsid w:val="005A50D9"/>
    <w:rsid w:val="005A7F93"/>
    <w:rsid w:val="005B4B95"/>
    <w:rsid w:val="005B5CE0"/>
    <w:rsid w:val="005B7461"/>
    <w:rsid w:val="005C29B5"/>
    <w:rsid w:val="005D66BC"/>
    <w:rsid w:val="005D67CD"/>
    <w:rsid w:val="005E2BEC"/>
    <w:rsid w:val="005F1474"/>
    <w:rsid w:val="005F6506"/>
    <w:rsid w:val="0060219D"/>
    <w:rsid w:val="0060416B"/>
    <w:rsid w:val="0061201E"/>
    <w:rsid w:val="006146D8"/>
    <w:rsid w:val="00615CD9"/>
    <w:rsid w:val="006161AC"/>
    <w:rsid w:val="00624780"/>
    <w:rsid w:val="00626732"/>
    <w:rsid w:val="006323E9"/>
    <w:rsid w:val="006458B2"/>
    <w:rsid w:val="006543CD"/>
    <w:rsid w:val="006550C8"/>
    <w:rsid w:val="00657D28"/>
    <w:rsid w:val="00660F1B"/>
    <w:rsid w:val="00662334"/>
    <w:rsid w:val="00664DCB"/>
    <w:rsid w:val="00667C18"/>
    <w:rsid w:val="006769B6"/>
    <w:rsid w:val="00677B65"/>
    <w:rsid w:val="006800AC"/>
    <w:rsid w:val="00680530"/>
    <w:rsid w:val="0068636C"/>
    <w:rsid w:val="00686504"/>
    <w:rsid w:val="00694627"/>
    <w:rsid w:val="006A07D6"/>
    <w:rsid w:val="006A3993"/>
    <w:rsid w:val="006A4953"/>
    <w:rsid w:val="006B1E2E"/>
    <w:rsid w:val="006B2B13"/>
    <w:rsid w:val="006B3140"/>
    <w:rsid w:val="006B51A8"/>
    <w:rsid w:val="006B5B5D"/>
    <w:rsid w:val="006B5BFC"/>
    <w:rsid w:val="006C4F07"/>
    <w:rsid w:val="006C6783"/>
    <w:rsid w:val="006C679B"/>
    <w:rsid w:val="006D1505"/>
    <w:rsid w:val="006E1273"/>
    <w:rsid w:val="006E643D"/>
    <w:rsid w:val="006E6C0E"/>
    <w:rsid w:val="006F07FB"/>
    <w:rsid w:val="00704B35"/>
    <w:rsid w:val="007166C4"/>
    <w:rsid w:val="00717DB6"/>
    <w:rsid w:val="00723582"/>
    <w:rsid w:val="00724E48"/>
    <w:rsid w:val="00725195"/>
    <w:rsid w:val="00732C6C"/>
    <w:rsid w:val="007330B0"/>
    <w:rsid w:val="007357F3"/>
    <w:rsid w:val="00740806"/>
    <w:rsid w:val="0074246D"/>
    <w:rsid w:val="00742D88"/>
    <w:rsid w:val="007450ED"/>
    <w:rsid w:val="0075414C"/>
    <w:rsid w:val="00760B9B"/>
    <w:rsid w:val="00770130"/>
    <w:rsid w:val="007759E0"/>
    <w:rsid w:val="007945B0"/>
    <w:rsid w:val="00794E4F"/>
    <w:rsid w:val="00796DB2"/>
    <w:rsid w:val="007B4672"/>
    <w:rsid w:val="007C7A09"/>
    <w:rsid w:val="007D3C03"/>
    <w:rsid w:val="007D43D2"/>
    <w:rsid w:val="007D449E"/>
    <w:rsid w:val="007D4559"/>
    <w:rsid w:val="007D6955"/>
    <w:rsid w:val="007E1349"/>
    <w:rsid w:val="007E3883"/>
    <w:rsid w:val="007E3DE3"/>
    <w:rsid w:val="007E72A1"/>
    <w:rsid w:val="007F751F"/>
    <w:rsid w:val="008002F9"/>
    <w:rsid w:val="00803539"/>
    <w:rsid w:val="00811CBE"/>
    <w:rsid w:val="008148E6"/>
    <w:rsid w:val="00820360"/>
    <w:rsid w:val="00820398"/>
    <w:rsid w:val="00823407"/>
    <w:rsid w:val="008236FA"/>
    <w:rsid w:val="00827B7F"/>
    <w:rsid w:val="00835663"/>
    <w:rsid w:val="00836EF6"/>
    <w:rsid w:val="00837755"/>
    <w:rsid w:val="00840294"/>
    <w:rsid w:val="0084498F"/>
    <w:rsid w:val="00844DAB"/>
    <w:rsid w:val="0084542E"/>
    <w:rsid w:val="0085506C"/>
    <w:rsid w:val="008562A2"/>
    <w:rsid w:val="00864B05"/>
    <w:rsid w:val="008724E6"/>
    <w:rsid w:val="0088135D"/>
    <w:rsid w:val="00883855"/>
    <w:rsid w:val="0088473A"/>
    <w:rsid w:val="00884F93"/>
    <w:rsid w:val="008900B6"/>
    <w:rsid w:val="00893687"/>
    <w:rsid w:val="008A0755"/>
    <w:rsid w:val="008A075F"/>
    <w:rsid w:val="008A12C4"/>
    <w:rsid w:val="008A40BD"/>
    <w:rsid w:val="008C1DBA"/>
    <w:rsid w:val="008C5BA9"/>
    <w:rsid w:val="008D0441"/>
    <w:rsid w:val="008D7182"/>
    <w:rsid w:val="008E1043"/>
    <w:rsid w:val="008F082A"/>
    <w:rsid w:val="008F1852"/>
    <w:rsid w:val="008F215F"/>
    <w:rsid w:val="008F222F"/>
    <w:rsid w:val="008F6FC3"/>
    <w:rsid w:val="008F734C"/>
    <w:rsid w:val="0090356C"/>
    <w:rsid w:val="00904085"/>
    <w:rsid w:val="00913E21"/>
    <w:rsid w:val="0092479A"/>
    <w:rsid w:val="00927546"/>
    <w:rsid w:val="00936E15"/>
    <w:rsid w:val="00945355"/>
    <w:rsid w:val="00946614"/>
    <w:rsid w:val="00955E65"/>
    <w:rsid w:val="0095710D"/>
    <w:rsid w:val="009600B8"/>
    <w:rsid w:val="00960BE2"/>
    <w:rsid w:val="0096380B"/>
    <w:rsid w:val="0097009A"/>
    <w:rsid w:val="00970AE0"/>
    <w:rsid w:val="00970EBC"/>
    <w:rsid w:val="00975BD8"/>
    <w:rsid w:val="00976793"/>
    <w:rsid w:val="009836B1"/>
    <w:rsid w:val="00986744"/>
    <w:rsid w:val="0098720A"/>
    <w:rsid w:val="00987798"/>
    <w:rsid w:val="009A5BB0"/>
    <w:rsid w:val="009A7110"/>
    <w:rsid w:val="009B02CE"/>
    <w:rsid w:val="009C655E"/>
    <w:rsid w:val="009D3C9D"/>
    <w:rsid w:val="009D61DF"/>
    <w:rsid w:val="009D714C"/>
    <w:rsid w:val="009D7615"/>
    <w:rsid w:val="009E4882"/>
    <w:rsid w:val="00A010BF"/>
    <w:rsid w:val="00A04DBC"/>
    <w:rsid w:val="00A05308"/>
    <w:rsid w:val="00A055DE"/>
    <w:rsid w:val="00A05BB8"/>
    <w:rsid w:val="00A05FDD"/>
    <w:rsid w:val="00A22480"/>
    <w:rsid w:val="00A26E36"/>
    <w:rsid w:val="00A35721"/>
    <w:rsid w:val="00A36998"/>
    <w:rsid w:val="00A378C6"/>
    <w:rsid w:val="00A43D2D"/>
    <w:rsid w:val="00A645A1"/>
    <w:rsid w:val="00A6460D"/>
    <w:rsid w:val="00A64A47"/>
    <w:rsid w:val="00A70F86"/>
    <w:rsid w:val="00A746EF"/>
    <w:rsid w:val="00A75C3E"/>
    <w:rsid w:val="00A86C39"/>
    <w:rsid w:val="00A91026"/>
    <w:rsid w:val="00A915E2"/>
    <w:rsid w:val="00AA4B4E"/>
    <w:rsid w:val="00AA611C"/>
    <w:rsid w:val="00AC1755"/>
    <w:rsid w:val="00AC66FA"/>
    <w:rsid w:val="00AC6985"/>
    <w:rsid w:val="00AD47E9"/>
    <w:rsid w:val="00AD5792"/>
    <w:rsid w:val="00AD58C6"/>
    <w:rsid w:val="00AF67FC"/>
    <w:rsid w:val="00AF7DC9"/>
    <w:rsid w:val="00B06497"/>
    <w:rsid w:val="00B20AA9"/>
    <w:rsid w:val="00B22260"/>
    <w:rsid w:val="00B2246B"/>
    <w:rsid w:val="00B25451"/>
    <w:rsid w:val="00B26E8E"/>
    <w:rsid w:val="00B26ED0"/>
    <w:rsid w:val="00B304D9"/>
    <w:rsid w:val="00B33D6F"/>
    <w:rsid w:val="00B34EA3"/>
    <w:rsid w:val="00B35533"/>
    <w:rsid w:val="00B52A45"/>
    <w:rsid w:val="00B62F2F"/>
    <w:rsid w:val="00B77FCA"/>
    <w:rsid w:val="00B814FF"/>
    <w:rsid w:val="00B83E9C"/>
    <w:rsid w:val="00B84D10"/>
    <w:rsid w:val="00B941B4"/>
    <w:rsid w:val="00B96149"/>
    <w:rsid w:val="00BA093F"/>
    <w:rsid w:val="00BB0F7A"/>
    <w:rsid w:val="00BB2866"/>
    <w:rsid w:val="00BC5240"/>
    <w:rsid w:val="00BC6310"/>
    <w:rsid w:val="00BD5F26"/>
    <w:rsid w:val="00BE1E6A"/>
    <w:rsid w:val="00BE2F55"/>
    <w:rsid w:val="00BE6A3C"/>
    <w:rsid w:val="00C03627"/>
    <w:rsid w:val="00C042C5"/>
    <w:rsid w:val="00C04BCC"/>
    <w:rsid w:val="00C145C0"/>
    <w:rsid w:val="00C337F0"/>
    <w:rsid w:val="00C345B2"/>
    <w:rsid w:val="00C3463C"/>
    <w:rsid w:val="00C3638D"/>
    <w:rsid w:val="00C40C0B"/>
    <w:rsid w:val="00C44579"/>
    <w:rsid w:val="00C54939"/>
    <w:rsid w:val="00C54F62"/>
    <w:rsid w:val="00C7298E"/>
    <w:rsid w:val="00C72CEB"/>
    <w:rsid w:val="00C7474D"/>
    <w:rsid w:val="00C74D24"/>
    <w:rsid w:val="00C8069D"/>
    <w:rsid w:val="00C80EF1"/>
    <w:rsid w:val="00C83F10"/>
    <w:rsid w:val="00C97F30"/>
    <w:rsid w:val="00CA038C"/>
    <w:rsid w:val="00CC27E0"/>
    <w:rsid w:val="00CC4D82"/>
    <w:rsid w:val="00CC67AB"/>
    <w:rsid w:val="00CC7B8F"/>
    <w:rsid w:val="00CD4505"/>
    <w:rsid w:val="00CD6B2E"/>
    <w:rsid w:val="00CD76C1"/>
    <w:rsid w:val="00CE00AD"/>
    <w:rsid w:val="00D01868"/>
    <w:rsid w:val="00D028E1"/>
    <w:rsid w:val="00D04FF0"/>
    <w:rsid w:val="00D05219"/>
    <w:rsid w:val="00D0655D"/>
    <w:rsid w:val="00D11C34"/>
    <w:rsid w:val="00D24BB0"/>
    <w:rsid w:val="00D26D22"/>
    <w:rsid w:val="00D30D25"/>
    <w:rsid w:val="00D43572"/>
    <w:rsid w:val="00D55663"/>
    <w:rsid w:val="00D6003C"/>
    <w:rsid w:val="00D6041E"/>
    <w:rsid w:val="00D60E25"/>
    <w:rsid w:val="00D636F0"/>
    <w:rsid w:val="00D65518"/>
    <w:rsid w:val="00D67FD8"/>
    <w:rsid w:val="00D73588"/>
    <w:rsid w:val="00D83408"/>
    <w:rsid w:val="00D85662"/>
    <w:rsid w:val="00D8587C"/>
    <w:rsid w:val="00D922D6"/>
    <w:rsid w:val="00D960DD"/>
    <w:rsid w:val="00DA11D7"/>
    <w:rsid w:val="00DB03F1"/>
    <w:rsid w:val="00DC6306"/>
    <w:rsid w:val="00DD09D0"/>
    <w:rsid w:val="00DE4F1E"/>
    <w:rsid w:val="00DE5E42"/>
    <w:rsid w:val="00DF180B"/>
    <w:rsid w:val="00DF2037"/>
    <w:rsid w:val="00DF7CEF"/>
    <w:rsid w:val="00E03DD9"/>
    <w:rsid w:val="00E07098"/>
    <w:rsid w:val="00E07F61"/>
    <w:rsid w:val="00E10C2F"/>
    <w:rsid w:val="00E12EDA"/>
    <w:rsid w:val="00E20EA6"/>
    <w:rsid w:val="00E338F9"/>
    <w:rsid w:val="00E37539"/>
    <w:rsid w:val="00E41094"/>
    <w:rsid w:val="00E4129E"/>
    <w:rsid w:val="00E447CE"/>
    <w:rsid w:val="00E44AA6"/>
    <w:rsid w:val="00E5067C"/>
    <w:rsid w:val="00E51351"/>
    <w:rsid w:val="00E620A7"/>
    <w:rsid w:val="00E6343B"/>
    <w:rsid w:val="00E66146"/>
    <w:rsid w:val="00E708C3"/>
    <w:rsid w:val="00E72E0F"/>
    <w:rsid w:val="00E74954"/>
    <w:rsid w:val="00E83E93"/>
    <w:rsid w:val="00EC1275"/>
    <w:rsid w:val="00EC2402"/>
    <w:rsid w:val="00EC31B5"/>
    <w:rsid w:val="00EC3829"/>
    <w:rsid w:val="00EC3E97"/>
    <w:rsid w:val="00EC4440"/>
    <w:rsid w:val="00EC5ECE"/>
    <w:rsid w:val="00EC7D7A"/>
    <w:rsid w:val="00EE02F9"/>
    <w:rsid w:val="00EE4E1B"/>
    <w:rsid w:val="00EE4EE8"/>
    <w:rsid w:val="00EE4F16"/>
    <w:rsid w:val="00EE7059"/>
    <w:rsid w:val="00EE71B6"/>
    <w:rsid w:val="00EF48E5"/>
    <w:rsid w:val="00EF4E84"/>
    <w:rsid w:val="00F04A17"/>
    <w:rsid w:val="00F14BF0"/>
    <w:rsid w:val="00F15C43"/>
    <w:rsid w:val="00F167D1"/>
    <w:rsid w:val="00F17911"/>
    <w:rsid w:val="00F23DE8"/>
    <w:rsid w:val="00F26EF6"/>
    <w:rsid w:val="00F31AE7"/>
    <w:rsid w:val="00F32B3D"/>
    <w:rsid w:val="00F330C7"/>
    <w:rsid w:val="00F34468"/>
    <w:rsid w:val="00F37ABF"/>
    <w:rsid w:val="00F4110E"/>
    <w:rsid w:val="00F418E2"/>
    <w:rsid w:val="00F4364E"/>
    <w:rsid w:val="00F44215"/>
    <w:rsid w:val="00F54B22"/>
    <w:rsid w:val="00F55158"/>
    <w:rsid w:val="00F56861"/>
    <w:rsid w:val="00F568D1"/>
    <w:rsid w:val="00F67523"/>
    <w:rsid w:val="00F819FD"/>
    <w:rsid w:val="00F83458"/>
    <w:rsid w:val="00F90B5F"/>
    <w:rsid w:val="00F91115"/>
    <w:rsid w:val="00F957C5"/>
    <w:rsid w:val="00FB0D92"/>
    <w:rsid w:val="00FB315A"/>
    <w:rsid w:val="00FB445E"/>
    <w:rsid w:val="00FB6E85"/>
    <w:rsid w:val="00FC20F7"/>
    <w:rsid w:val="00FC6466"/>
    <w:rsid w:val="00FD09BB"/>
    <w:rsid w:val="00FD2530"/>
    <w:rsid w:val="00FD4B3E"/>
    <w:rsid w:val="00FD5746"/>
    <w:rsid w:val="00FE488B"/>
    <w:rsid w:val="00FE49AA"/>
    <w:rsid w:val="00FE628A"/>
    <w:rsid w:val="00FF6331"/>
    <w:rsid w:val="00FF64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footnote text" w:uiPriority="99"/>
    <w:lsdException w:name="index heading" w:uiPriority="99"/>
    <w:lsdException w:name="caption" w:semiHidden="0" w:unhideWhenUsed="0" w:qFormat="1"/>
    <w:lsdException w:name="envelope address"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3DE8"/>
    <w:pPr>
      <w:widowControl w:val="0"/>
      <w:adjustRightInd w:val="0"/>
      <w:spacing w:line="360" w:lineRule="atLeast"/>
      <w:jc w:val="both"/>
      <w:textAlignment w:val="baseline"/>
    </w:pPr>
    <w:rPr>
      <w:rFonts w:ascii="Verdana" w:hAnsi="Verdana"/>
      <w:szCs w:val="24"/>
    </w:rPr>
  </w:style>
  <w:style w:type="paragraph" w:styleId="Nadpis1">
    <w:name w:val="heading 1"/>
    <w:basedOn w:val="Normln"/>
    <w:next w:val="Normln"/>
    <w:autoRedefine/>
    <w:qFormat/>
    <w:rsid w:val="00D65518"/>
    <w:pPr>
      <w:keepNext/>
      <w:numPr>
        <w:numId w:val="7"/>
      </w:numPr>
      <w:spacing w:before="240" w:after="60"/>
      <w:outlineLvl w:val="0"/>
    </w:pPr>
    <w:rPr>
      <w:rFonts w:cs="Arial"/>
      <w:b/>
      <w:bCs/>
      <w:caps/>
      <w:kern w:val="32"/>
      <w:sz w:val="32"/>
      <w:szCs w:val="32"/>
    </w:rPr>
  </w:style>
  <w:style w:type="paragraph" w:styleId="Nadpis2">
    <w:name w:val="heading 2"/>
    <w:basedOn w:val="Normln"/>
    <w:next w:val="Normln"/>
    <w:link w:val="Nadpis2Char"/>
    <w:autoRedefine/>
    <w:qFormat/>
    <w:rsid w:val="00D65518"/>
    <w:pPr>
      <w:keepNext/>
      <w:numPr>
        <w:ilvl w:val="1"/>
        <w:numId w:val="8"/>
      </w:numPr>
      <w:spacing w:before="240" w:after="60"/>
      <w:outlineLvl w:val="1"/>
    </w:pPr>
    <w:rPr>
      <w:rFonts w:cs="Arial"/>
      <w:b/>
      <w:bCs/>
      <w:iCs/>
      <w:sz w:val="26"/>
      <w:szCs w:val="28"/>
    </w:rPr>
  </w:style>
  <w:style w:type="paragraph" w:styleId="Nadpis3">
    <w:name w:val="heading 3"/>
    <w:basedOn w:val="Normln"/>
    <w:next w:val="Normln"/>
    <w:link w:val="Nadpis3Char"/>
    <w:autoRedefine/>
    <w:qFormat/>
    <w:rsid w:val="00B304D9"/>
    <w:pPr>
      <w:keepNext/>
      <w:spacing w:before="240" w:after="60"/>
      <w:outlineLvl w:val="2"/>
    </w:pPr>
    <w:rPr>
      <w:rFonts w:cs="Arial"/>
      <w:b/>
      <w:bCs/>
      <w:szCs w:val="26"/>
    </w:rPr>
  </w:style>
  <w:style w:type="paragraph" w:styleId="Nadpis4">
    <w:name w:val="heading 4"/>
    <w:basedOn w:val="Normln"/>
    <w:next w:val="Normln"/>
    <w:autoRedefine/>
    <w:qFormat/>
    <w:rsid w:val="0092479A"/>
    <w:pPr>
      <w:keepNext/>
      <w:spacing w:before="240" w:after="60"/>
      <w:ind w:left="864" w:hanging="864"/>
      <w:outlineLvl w:val="3"/>
    </w:pPr>
    <w:rPr>
      <w:b/>
      <w:bCs/>
      <w:szCs w:val="28"/>
    </w:rPr>
  </w:style>
  <w:style w:type="paragraph" w:styleId="Nadpis5">
    <w:name w:val="heading 5"/>
    <w:basedOn w:val="Normln"/>
    <w:next w:val="Normln"/>
    <w:autoRedefine/>
    <w:qFormat/>
    <w:rsid w:val="00D65518"/>
    <w:pPr>
      <w:numPr>
        <w:ilvl w:val="4"/>
        <w:numId w:val="10"/>
      </w:numPr>
      <w:spacing w:before="240" w:after="60"/>
      <w:outlineLvl w:val="4"/>
    </w:pPr>
    <w:rPr>
      <w:b/>
      <w:bCs/>
      <w:iCs/>
      <w:szCs w:val="26"/>
    </w:rPr>
  </w:style>
  <w:style w:type="paragraph" w:styleId="Nadpis6">
    <w:name w:val="heading 6"/>
    <w:basedOn w:val="Normln"/>
    <w:next w:val="Normln"/>
    <w:autoRedefine/>
    <w:qFormat/>
    <w:rsid w:val="00D65518"/>
    <w:pPr>
      <w:numPr>
        <w:ilvl w:val="5"/>
        <w:numId w:val="11"/>
      </w:numPr>
      <w:spacing w:before="240" w:after="60"/>
      <w:outlineLvl w:val="5"/>
    </w:pPr>
    <w:rPr>
      <w:bCs/>
      <w:szCs w:val="22"/>
      <w:u w:val="single"/>
    </w:rPr>
  </w:style>
  <w:style w:type="paragraph" w:styleId="Nadpis7">
    <w:name w:val="heading 7"/>
    <w:basedOn w:val="Normln"/>
    <w:next w:val="Normln"/>
    <w:autoRedefine/>
    <w:qFormat/>
    <w:rsid w:val="00D65518"/>
    <w:pPr>
      <w:numPr>
        <w:ilvl w:val="6"/>
        <w:numId w:val="12"/>
      </w:numPr>
      <w:spacing w:before="240" w:after="60"/>
      <w:outlineLvl w:val="6"/>
    </w:pPr>
  </w:style>
  <w:style w:type="paragraph" w:styleId="Nadpis8">
    <w:name w:val="heading 8"/>
    <w:basedOn w:val="Normln"/>
    <w:next w:val="Normln"/>
    <w:autoRedefine/>
    <w:qFormat/>
    <w:rsid w:val="00D65518"/>
    <w:pPr>
      <w:numPr>
        <w:ilvl w:val="7"/>
        <w:numId w:val="13"/>
      </w:numPr>
      <w:spacing w:before="240" w:after="60"/>
      <w:outlineLvl w:val="7"/>
    </w:pPr>
    <w:rPr>
      <w:i/>
      <w:iCs/>
    </w:rPr>
  </w:style>
  <w:style w:type="paragraph" w:styleId="Nadpis9">
    <w:name w:val="heading 9"/>
    <w:basedOn w:val="Normln"/>
    <w:next w:val="Normln"/>
    <w:autoRedefine/>
    <w:qFormat/>
    <w:rsid w:val="00D65518"/>
    <w:pPr>
      <w:tabs>
        <w:tab w:val="num" w:pos="1584"/>
      </w:tabs>
      <w:spacing w:before="240" w:after="60"/>
      <w:ind w:left="1584" w:hanging="1584"/>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HTML">
    <w:name w:val="HTML Address"/>
    <w:basedOn w:val="Normln"/>
    <w:autoRedefine/>
    <w:rsid w:val="00D65518"/>
    <w:rPr>
      <w:iCs/>
    </w:rPr>
  </w:style>
  <w:style w:type="character" w:styleId="AkronymHTML">
    <w:name w:val="HTML Acronym"/>
    <w:basedOn w:val="Standardnpsmoodstavce"/>
    <w:rsid w:val="00D65518"/>
    <w:rPr>
      <w:rFonts w:ascii="Verdana" w:hAnsi="Verdana"/>
    </w:rPr>
  </w:style>
  <w:style w:type="paragraph" w:customStyle="1" w:styleId="Cena">
    <w:name w:val="Cena"/>
    <w:basedOn w:val="Normln"/>
    <w:autoRedefine/>
    <w:semiHidden/>
    <w:rsid w:val="00D65518"/>
    <w:pPr>
      <w:tabs>
        <w:tab w:val="right" w:pos="8789"/>
      </w:tabs>
    </w:pPr>
  </w:style>
  <w:style w:type="character" w:styleId="CittHTML">
    <w:name w:val="HTML Cite"/>
    <w:basedOn w:val="Standardnpsmoodstavce"/>
    <w:rsid w:val="00D65518"/>
    <w:rPr>
      <w:rFonts w:ascii="Verdana" w:hAnsi="Verdana"/>
      <w:iCs/>
    </w:rPr>
  </w:style>
  <w:style w:type="character" w:styleId="slodku">
    <w:name w:val="line number"/>
    <w:basedOn w:val="Standardnpsmoodstavce"/>
    <w:rsid w:val="00D65518"/>
    <w:rPr>
      <w:rFonts w:ascii="Verdana" w:hAnsi="Verdana"/>
    </w:rPr>
  </w:style>
  <w:style w:type="character" w:styleId="slostrnky">
    <w:name w:val="page number"/>
    <w:basedOn w:val="Standardnpsmoodstavce"/>
    <w:rsid w:val="00D65518"/>
    <w:rPr>
      <w:rFonts w:ascii="Verdana" w:hAnsi="Verdana"/>
    </w:rPr>
  </w:style>
  <w:style w:type="paragraph" w:styleId="slovanseznam">
    <w:name w:val="List Number"/>
    <w:basedOn w:val="Normln"/>
    <w:autoRedefine/>
    <w:rsid w:val="00D65518"/>
    <w:pPr>
      <w:numPr>
        <w:numId w:val="2"/>
      </w:numPr>
    </w:pPr>
  </w:style>
  <w:style w:type="paragraph" w:styleId="slovanseznam2">
    <w:name w:val="List Number 2"/>
    <w:basedOn w:val="Normln"/>
    <w:autoRedefine/>
    <w:rsid w:val="00D65518"/>
    <w:pPr>
      <w:numPr>
        <w:numId w:val="3"/>
      </w:numPr>
    </w:pPr>
  </w:style>
  <w:style w:type="paragraph" w:styleId="slovanseznam3">
    <w:name w:val="List Number 3"/>
    <w:basedOn w:val="Normln"/>
    <w:autoRedefine/>
    <w:rsid w:val="00D65518"/>
    <w:pPr>
      <w:numPr>
        <w:numId w:val="4"/>
      </w:numPr>
    </w:pPr>
  </w:style>
  <w:style w:type="paragraph" w:styleId="slovanseznam4">
    <w:name w:val="List Number 4"/>
    <w:basedOn w:val="Normln"/>
    <w:autoRedefine/>
    <w:rsid w:val="00D65518"/>
    <w:pPr>
      <w:numPr>
        <w:numId w:val="5"/>
      </w:numPr>
    </w:pPr>
  </w:style>
  <w:style w:type="paragraph" w:styleId="slovanseznam5">
    <w:name w:val="List Number 5"/>
    <w:basedOn w:val="Normln"/>
    <w:autoRedefine/>
    <w:rsid w:val="00D65518"/>
    <w:pPr>
      <w:numPr>
        <w:numId w:val="6"/>
      </w:numPr>
    </w:pPr>
  </w:style>
  <w:style w:type="paragraph" w:styleId="Datum">
    <w:name w:val="Date"/>
    <w:basedOn w:val="Normln"/>
    <w:next w:val="Normln"/>
    <w:autoRedefine/>
    <w:rsid w:val="00D65518"/>
  </w:style>
  <w:style w:type="character" w:styleId="DefiniceHTML">
    <w:name w:val="HTML Definition"/>
    <w:basedOn w:val="Standardnpsmoodstavce"/>
    <w:rsid w:val="00D65518"/>
    <w:rPr>
      <w:rFonts w:ascii="Verdana" w:hAnsi="Verdana"/>
      <w:iCs/>
    </w:rPr>
  </w:style>
  <w:style w:type="paragraph" w:styleId="FormtovanvHTML">
    <w:name w:val="HTML Preformatted"/>
    <w:basedOn w:val="Normln"/>
    <w:rsid w:val="00D65518"/>
    <w:rPr>
      <w:rFonts w:ascii="Courier New" w:hAnsi="Courier New" w:cs="Courier New"/>
      <w:szCs w:val="20"/>
    </w:rPr>
  </w:style>
  <w:style w:type="character" w:styleId="Hypertextovodkaz">
    <w:name w:val="Hyperlink"/>
    <w:basedOn w:val="Standardnpsmoodstavce"/>
    <w:uiPriority w:val="99"/>
    <w:rsid w:val="00D65518"/>
    <w:rPr>
      <w:rFonts w:ascii="Verdana" w:hAnsi="Verdana"/>
      <w:color w:val="0000FF"/>
      <w:u w:val="none"/>
    </w:rPr>
  </w:style>
  <w:style w:type="character" w:styleId="KlvesniceHTML">
    <w:name w:val="HTML Keyboard"/>
    <w:basedOn w:val="Standardnpsmoodstavce"/>
    <w:rsid w:val="00D65518"/>
    <w:rPr>
      <w:rFonts w:ascii="Courier New" w:hAnsi="Courier New" w:cs="Courier New"/>
      <w:sz w:val="20"/>
      <w:szCs w:val="20"/>
    </w:rPr>
  </w:style>
  <w:style w:type="character" w:styleId="KdHTML">
    <w:name w:val="HTML Code"/>
    <w:basedOn w:val="Standardnpsmoodstavce"/>
    <w:rsid w:val="00D65518"/>
    <w:rPr>
      <w:rFonts w:ascii="Courier New" w:hAnsi="Courier New" w:cs="Courier New"/>
      <w:sz w:val="20"/>
      <w:szCs w:val="20"/>
    </w:rPr>
  </w:style>
  <w:style w:type="paragraph" w:styleId="Nadpispoznmky">
    <w:name w:val="Note Heading"/>
    <w:basedOn w:val="Normln"/>
    <w:next w:val="Normln"/>
    <w:autoRedefine/>
    <w:rsid w:val="00D65518"/>
  </w:style>
  <w:style w:type="paragraph" w:styleId="Nzev">
    <w:name w:val="Title"/>
    <w:basedOn w:val="Normln"/>
    <w:qFormat/>
    <w:rsid w:val="00D65518"/>
    <w:pPr>
      <w:spacing w:before="240" w:after="60"/>
      <w:jc w:val="center"/>
      <w:outlineLvl w:val="0"/>
    </w:pPr>
    <w:rPr>
      <w:rFonts w:cs="Arial"/>
      <w:b/>
      <w:bCs/>
      <w:kern w:val="28"/>
      <w:sz w:val="32"/>
      <w:szCs w:val="32"/>
    </w:rPr>
  </w:style>
  <w:style w:type="paragraph" w:styleId="Normlnweb">
    <w:name w:val="Normal (Web)"/>
    <w:basedOn w:val="Normln"/>
    <w:uiPriority w:val="99"/>
    <w:rsid w:val="00D65518"/>
  </w:style>
  <w:style w:type="paragraph" w:styleId="Normlnodsazen">
    <w:name w:val="Normal Indent"/>
    <w:basedOn w:val="Normln"/>
    <w:rsid w:val="00D65518"/>
    <w:pPr>
      <w:ind w:left="454"/>
    </w:pPr>
  </w:style>
  <w:style w:type="paragraph" w:styleId="Obsah1">
    <w:name w:val="toc 1"/>
    <w:basedOn w:val="Normln"/>
    <w:next w:val="Normln"/>
    <w:autoRedefine/>
    <w:uiPriority w:val="39"/>
    <w:rsid w:val="00D65518"/>
  </w:style>
  <w:style w:type="paragraph" w:styleId="Obsah2">
    <w:name w:val="toc 2"/>
    <w:basedOn w:val="Normln"/>
    <w:next w:val="Normln"/>
    <w:autoRedefine/>
    <w:uiPriority w:val="39"/>
    <w:rsid w:val="00D65518"/>
    <w:pPr>
      <w:ind w:left="200"/>
    </w:pPr>
  </w:style>
  <w:style w:type="paragraph" w:styleId="Obsah3">
    <w:name w:val="toc 3"/>
    <w:basedOn w:val="Normln"/>
    <w:next w:val="Normln"/>
    <w:autoRedefine/>
    <w:uiPriority w:val="39"/>
    <w:rsid w:val="00D65518"/>
    <w:pPr>
      <w:ind w:left="400"/>
    </w:pPr>
  </w:style>
  <w:style w:type="paragraph" w:styleId="Obsah4">
    <w:name w:val="toc 4"/>
    <w:basedOn w:val="Normln"/>
    <w:next w:val="Normln"/>
    <w:autoRedefine/>
    <w:semiHidden/>
    <w:rsid w:val="00D65518"/>
    <w:pPr>
      <w:ind w:left="600"/>
    </w:pPr>
  </w:style>
  <w:style w:type="paragraph" w:styleId="Obsah5">
    <w:name w:val="toc 5"/>
    <w:basedOn w:val="Normln"/>
    <w:next w:val="Normln"/>
    <w:autoRedefine/>
    <w:semiHidden/>
    <w:rsid w:val="00D65518"/>
    <w:pPr>
      <w:ind w:left="800"/>
    </w:pPr>
  </w:style>
  <w:style w:type="paragraph" w:styleId="Obsah6">
    <w:name w:val="toc 6"/>
    <w:basedOn w:val="Normln"/>
    <w:next w:val="Normln"/>
    <w:autoRedefine/>
    <w:semiHidden/>
    <w:rsid w:val="00D65518"/>
    <w:pPr>
      <w:tabs>
        <w:tab w:val="right" w:leader="dot" w:pos="8789"/>
      </w:tabs>
      <w:ind w:left="1000"/>
    </w:pPr>
  </w:style>
  <w:style w:type="paragraph" w:styleId="Obsah7">
    <w:name w:val="toc 7"/>
    <w:basedOn w:val="Normln"/>
    <w:next w:val="Normln"/>
    <w:autoRedefine/>
    <w:semiHidden/>
    <w:rsid w:val="00D65518"/>
    <w:pPr>
      <w:tabs>
        <w:tab w:val="right" w:leader="dot" w:pos="8789"/>
      </w:tabs>
      <w:ind w:left="1200"/>
    </w:pPr>
  </w:style>
  <w:style w:type="paragraph" w:styleId="Obsah8">
    <w:name w:val="toc 8"/>
    <w:basedOn w:val="Normln"/>
    <w:next w:val="Normln"/>
    <w:autoRedefine/>
    <w:semiHidden/>
    <w:rsid w:val="00D65518"/>
    <w:pPr>
      <w:tabs>
        <w:tab w:val="right" w:leader="dot" w:pos="8789"/>
      </w:tabs>
      <w:ind w:left="1400"/>
    </w:pPr>
  </w:style>
  <w:style w:type="paragraph" w:styleId="Obsah9">
    <w:name w:val="toc 9"/>
    <w:basedOn w:val="Normln"/>
    <w:next w:val="Normln"/>
    <w:autoRedefine/>
    <w:semiHidden/>
    <w:rsid w:val="00D65518"/>
    <w:pPr>
      <w:tabs>
        <w:tab w:val="right" w:leader="dot" w:pos="8789"/>
      </w:tabs>
      <w:ind w:left="1600"/>
    </w:pPr>
  </w:style>
  <w:style w:type="paragraph" w:styleId="Osloven">
    <w:name w:val="Salutation"/>
    <w:basedOn w:val="Normln"/>
    <w:next w:val="Normln"/>
    <w:rsid w:val="00D65518"/>
  </w:style>
  <w:style w:type="paragraph" w:styleId="Podpis">
    <w:name w:val="Signature"/>
    <w:basedOn w:val="Normln"/>
    <w:rsid w:val="00D65518"/>
    <w:pPr>
      <w:tabs>
        <w:tab w:val="left" w:pos="5954"/>
      </w:tabs>
      <w:ind w:left="5954"/>
    </w:pPr>
    <w:rPr>
      <w:b/>
    </w:rPr>
  </w:style>
  <w:style w:type="paragraph" w:customStyle="1" w:styleId="Podpodpisem">
    <w:name w:val="Pod_podpisem"/>
    <w:basedOn w:val="Podpis"/>
    <w:autoRedefine/>
    <w:semiHidden/>
    <w:rsid w:val="00D65518"/>
    <w:rPr>
      <w:b w:val="0"/>
      <w:sz w:val="18"/>
    </w:rPr>
  </w:style>
  <w:style w:type="paragraph" w:styleId="Podpise-mailu">
    <w:name w:val="E-mail Signature"/>
    <w:basedOn w:val="Normln"/>
    <w:rsid w:val="00D65518"/>
  </w:style>
  <w:style w:type="paragraph" w:styleId="Podtitul">
    <w:name w:val="Subtitle"/>
    <w:basedOn w:val="Normln"/>
    <w:qFormat/>
    <w:rsid w:val="00D65518"/>
    <w:pPr>
      <w:spacing w:after="60"/>
      <w:outlineLvl w:val="1"/>
    </w:pPr>
    <w:rPr>
      <w:rFonts w:cs="Arial"/>
      <w:u w:val="single"/>
    </w:rPr>
  </w:style>
  <w:style w:type="paragraph" w:styleId="Pokraovnseznamu">
    <w:name w:val="List Continue"/>
    <w:basedOn w:val="Normln"/>
    <w:rsid w:val="00D65518"/>
    <w:pPr>
      <w:spacing w:after="120"/>
      <w:ind w:left="283"/>
    </w:pPr>
  </w:style>
  <w:style w:type="paragraph" w:styleId="Pokraovnseznamu2">
    <w:name w:val="List Continue 2"/>
    <w:basedOn w:val="Normln"/>
    <w:rsid w:val="00D65518"/>
    <w:pPr>
      <w:spacing w:after="120"/>
      <w:ind w:left="566"/>
    </w:pPr>
  </w:style>
  <w:style w:type="paragraph" w:styleId="Pokraovnseznamu3">
    <w:name w:val="List Continue 3"/>
    <w:basedOn w:val="Normln"/>
    <w:rsid w:val="00D65518"/>
    <w:pPr>
      <w:spacing w:after="120"/>
      <w:ind w:left="849"/>
    </w:pPr>
  </w:style>
  <w:style w:type="paragraph" w:styleId="Pokraovnseznamu4">
    <w:name w:val="List Continue 4"/>
    <w:basedOn w:val="Normln"/>
    <w:rsid w:val="00D65518"/>
    <w:pPr>
      <w:spacing w:after="120"/>
      <w:ind w:left="1132"/>
    </w:pPr>
  </w:style>
  <w:style w:type="paragraph" w:styleId="Pokraovnseznamu5">
    <w:name w:val="List Continue 5"/>
    <w:basedOn w:val="Normln"/>
    <w:rsid w:val="00D65518"/>
    <w:pPr>
      <w:spacing w:after="120"/>
      <w:ind w:left="1415"/>
    </w:pPr>
  </w:style>
  <w:style w:type="character" w:styleId="PromnnHTML">
    <w:name w:val="HTML Variable"/>
    <w:basedOn w:val="Standardnpsmoodstavce"/>
    <w:rsid w:val="00D65518"/>
    <w:rPr>
      <w:rFonts w:ascii="Verdana" w:hAnsi="Verdana"/>
      <w:iCs/>
    </w:rPr>
  </w:style>
  <w:style w:type="paragraph" w:styleId="Prosttext">
    <w:name w:val="Plain Text"/>
    <w:basedOn w:val="Normln"/>
    <w:rsid w:val="00D65518"/>
    <w:rPr>
      <w:rFonts w:cs="Courier New"/>
      <w:szCs w:val="20"/>
    </w:rPr>
  </w:style>
  <w:style w:type="character" w:styleId="PsacstrojHTML">
    <w:name w:val="HTML Typewriter"/>
    <w:basedOn w:val="Standardnpsmoodstavce"/>
    <w:rsid w:val="00D65518"/>
    <w:rPr>
      <w:rFonts w:ascii="Courier New" w:hAnsi="Courier New" w:cs="Courier New"/>
      <w:sz w:val="20"/>
      <w:szCs w:val="20"/>
    </w:rPr>
  </w:style>
  <w:style w:type="paragraph" w:styleId="Seznam">
    <w:name w:val="List"/>
    <w:basedOn w:val="Normln"/>
    <w:rsid w:val="00D65518"/>
    <w:pPr>
      <w:ind w:left="283" w:hanging="283"/>
    </w:pPr>
  </w:style>
  <w:style w:type="paragraph" w:styleId="Seznam2">
    <w:name w:val="List 2"/>
    <w:basedOn w:val="Normln"/>
    <w:rsid w:val="00D65518"/>
    <w:pPr>
      <w:ind w:left="566" w:hanging="283"/>
    </w:pPr>
  </w:style>
  <w:style w:type="paragraph" w:styleId="Seznam3">
    <w:name w:val="List 3"/>
    <w:basedOn w:val="Normln"/>
    <w:rsid w:val="00D65518"/>
    <w:pPr>
      <w:ind w:left="849" w:hanging="283"/>
    </w:pPr>
  </w:style>
  <w:style w:type="paragraph" w:styleId="Seznam4">
    <w:name w:val="List 4"/>
    <w:basedOn w:val="Normln"/>
    <w:rsid w:val="00D65518"/>
    <w:pPr>
      <w:ind w:left="1132" w:hanging="283"/>
    </w:pPr>
  </w:style>
  <w:style w:type="paragraph" w:styleId="Seznam5">
    <w:name w:val="List 5"/>
    <w:basedOn w:val="Normln"/>
    <w:rsid w:val="00D65518"/>
    <w:pPr>
      <w:ind w:left="1415" w:hanging="283"/>
    </w:pPr>
  </w:style>
  <w:style w:type="paragraph" w:styleId="Seznamsodrkami">
    <w:name w:val="List Bullet"/>
    <w:basedOn w:val="Normln"/>
    <w:autoRedefine/>
    <w:rsid w:val="00D65518"/>
    <w:pPr>
      <w:numPr>
        <w:numId w:val="14"/>
      </w:numPr>
    </w:pPr>
  </w:style>
  <w:style w:type="paragraph" w:styleId="Seznamsodrkami2">
    <w:name w:val="List Bullet 2"/>
    <w:basedOn w:val="Normln"/>
    <w:autoRedefine/>
    <w:rsid w:val="00D65518"/>
    <w:pPr>
      <w:numPr>
        <w:numId w:val="15"/>
      </w:numPr>
    </w:pPr>
  </w:style>
  <w:style w:type="paragraph" w:styleId="Seznamsodrkami3">
    <w:name w:val="List Bullet 3"/>
    <w:basedOn w:val="Normln"/>
    <w:autoRedefine/>
    <w:rsid w:val="00D65518"/>
    <w:pPr>
      <w:numPr>
        <w:numId w:val="16"/>
      </w:numPr>
    </w:pPr>
  </w:style>
  <w:style w:type="paragraph" w:styleId="Seznamsodrkami4">
    <w:name w:val="List Bullet 4"/>
    <w:basedOn w:val="Normln"/>
    <w:autoRedefine/>
    <w:rsid w:val="00D65518"/>
    <w:pPr>
      <w:numPr>
        <w:numId w:val="17"/>
      </w:numPr>
    </w:pPr>
  </w:style>
  <w:style w:type="paragraph" w:styleId="Seznamsodrkami5">
    <w:name w:val="List Bullet 5"/>
    <w:basedOn w:val="Normln"/>
    <w:autoRedefine/>
    <w:rsid w:val="00D65518"/>
    <w:pPr>
      <w:numPr>
        <w:numId w:val="18"/>
      </w:numPr>
    </w:pPr>
  </w:style>
  <w:style w:type="character" w:styleId="Siln">
    <w:name w:val="Strong"/>
    <w:basedOn w:val="Standardnpsmoodstavce"/>
    <w:uiPriority w:val="22"/>
    <w:qFormat/>
    <w:rsid w:val="00D65518"/>
    <w:rPr>
      <w:rFonts w:ascii="Verdana" w:hAnsi="Verdana"/>
      <w:b/>
      <w:bCs/>
    </w:rPr>
  </w:style>
  <w:style w:type="character" w:styleId="Sledovanodkaz">
    <w:name w:val="FollowedHyperlink"/>
    <w:basedOn w:val="Standardnpsmoodstavce"/>
    <w:rsid w:val="00D65518"/>
    <w:rPr>
      <w:rFonts w:ascii="Verdana" w:hAnsi="Verdana"/>
      <w:color w:val="800080"/>
      <w:u w:val="none"/>
    </w:rPr>
  </w:style>
  <w:style w:type="paragraph" w:customStyle="1" w:styleId="Smlouvalnek">
    <w:name w:val="Smlouva_článek"/>
    <w:basedOn w:val="Normln"/>
    <w:next w:val="Normln"/>
    <w:semiHidden/>
    <w:rsid w:val="00D65518"/>
    <w:pPr>
      <w:numPr>
        <w:numId w:val="19"/>
      </w:numPr>
      <w:spacing w:after="180"/>
      <w:jc w:val="center"/>
    </w:pPr>
    <w:rPr>
      <w:b/>
    </w:rPr>
  </w:style>
  <w:style w:type="paragraph" w:customStyle="1" w:styleId="Smlouvaodstavec">
    <w:name w:val="Smlouva_odstavec"/>
    <w:basedOn w:val="Normln"/>
    <w:semiHidden/>
    <w:rsid w:val="00D65518"/>
    <w:pPr>
      <w:numPr>
        <w:ilvl w:val="1"/>
        <w:numId w:val="20"/>
      </w:numPr>
      <w:ind w:left="0" w:firstLine="0"/>
    </w:pPr>
  </w:style>
  <w:style w:type="paragraph" w:customStyle="1" w:styleId="Text">
    <w:name w:val="Text"/>
    <w:basedOn w:val="Normln"/>
    <w:rsid w:val="00D65518"/>
    <w:pPr>
      <w:ind w:left="-181" w:right="-113"/>
    </w:pPr>
  </w:style>
  <w:style w:type="paragraph" w:styleId="Textvbloku">
    <w:name w:val="Block Text"/>
    <w:basedOn w:val="Normln"/>
    <w:rsid w:val="00D65518"/>
    <w:pPr>
      <w:spacing w:after="120"/>
      <w:ind w:left="1440" w:right="1440"/>
    </w:pPr>
  </w:style>
  <w:style w:type="character" w:styleId="UkzkaHTML">
    <w:name w:val="HTML Sample"/>
    <w:basedOn w:val="Standardnpsmoodstavce"/>
    <w:rsid w:val="00D65518"/>
    <w:rPr>
      <w:rFonts w:ascii="Courier New" w:hAnsi="Courier New" w:cs="Courier New"/>
    </w:rPr>
  </w:style>
  <w:style w:type="paragraph" w:styleId="Zhlav">
    <w:name w:val="header"/>
    <w:basedOn w:val="Normln"/>
    <w:rsid w:val="00D65518"/>
    <w:pPr>
      <w:tabs>
        <w:tab w:val="center" w:pos="4536"/>
        <w:tab w:val="right" w:pos="9072"/>
      </w:tabs>
    </w:pPr>
    <w:rPr>
      <w:sz w:val="14"/>
    </w:rPr>
  </w:style>
  <w:style w:type="paragraph" w:styleId="Zhlavzprvy">
    <w:name w:val="Message Header"/>
    <w:basedOn w:val="Normln"/>
    <w:autoRedefine/>
    <w:rsid w:val="00D65518"/>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Zkladntext">
    <w:name w:val="Body Text"/>
    <w:basedOn w:val="Normln"/>
    <w:rsid w:val="00D65518"/>
    <w:pPr>
      <w:spacing w:after="120"/>
    </w:pPr>
  </w:style>
  <w:style w:type="paragraph" w:styleId="Zkladntext-prvnodsazen">
    <w:name w:val="Body Text First Indent"/>
    <w:basedOn w:val="Zkladntext"/>
    <w:rsid w:val="00D65518"/>
    <w:pPr>
      <w:ind w:firstLine="210"/>
    </w:pPr>
  </w:style>
  <w:style w:type="paragraph" w:styleId="Zkladntextodsazen">
    <w:name w:val="Body Text Indent"/>
    <w:basedOn w:val="Normln"/>
    <w:rsid w:val="00D65518"/>
    <w:pPr>
      <w:spacing w:after="120"/>
      <w:ind w:left="283"/>
    </w:pPr>
  </w:style>
  <w:style w:type="paragraph" w:styleId="Zkladntext-prvnodsazen2">
    <w:name w:val="Body Text First Indent 2"/>
    <w:basedOn w:val="Zkladntextodsazen"/>
    <w:rsid w:val="00D65518"/>
    <w:pPr>
      <w:ind w:firstLine="210"/>
    </w:pPr>
  </w:style>
  <w:style w:type="paragraph" w:styleId="Zkladntext2">
    <w:name w:val="Body Text 2"/>
    <w:basedOn w:val="Normln"/>
    <w:rsid w:val="00D65518"/>
    <w:pPr>
      <w:spacing w:after="120" w:line="480" w:lineRule="auto"/>
    </w:pPr>
  </w:style>
  <w:style w:type="paragraph" w:styleId="Zkladntext3">
    <w:name w:val="Body Text 3"/>
    <w:basedOn w:val="Normln"/>
    <w:rsid w:val="00D65518"/>
    <w:pPr>
      <w:spacing w:after="120"/>
    </w:pPr>
    <w:rPr>
      <w:sz w:val="16"/>
      <w:szCs w:val="16"/>
    </w:rPr>
  </w:style>
  <w:style w:type="paragraph" w:styleId="Zkladntextodsazen2">
    <w:name w:val="Body Text Indent 2"/>
    <w:basedOn w:val="Normln"/>
    <w:rsid w:val="00D65518"/>
    <w:pPr>
      <w:spacing w:after="120" w:line="480" w:lineRule="auto"/>
      <w:ind w:left="283"/>
    </w:pPr>
  </w:style>
  <w:style w:type="paragraph" w:styleId="Zkladntextodsazen3">
    <w:name w:val="Body Text Indent 3"/>
    <w:basedOn w:val="Normln"/>
    <w:rsid w:val="00D65518"/>
    <w:pPr>
      <w:spacing w:after="120"/>
      <w:ind w:left="283"/>
    </w:pPr>
    <w:rPr>
      <w:sz w:val="16"/>
      <w:szCs w:val="16"/>
    </w:rPr>
  </w:style>
  <w:style w:type="paragraph" w:styleId="Zpat">
    <w:name w:val="footer"/>
    <w:basedOn w:val="Normln"/>
    <w:link w:val="ZpatChar"/>
    <w:autoRedefine/>
    <w:rsid w:val="007D4559"/>
    <w:pPr>
      <w:tabs>
        <w:tab w:val="left" w:pos="2438"/>
        <w:tab w:val="left" w:pos="5216"/>
      </w:tabs>
    </w:pPr>
    <w:rPr>
      <w:sz w:val="18"/>
    </w:rPr>
  </w:style>
  <w:style w:type="paragraph" w:styleId="Zvr">
    <w:name w:val="Closing"/>
    <w:basedOn w:val="Normln"/>
    <w:rsid w:val="00D65518"/>
    <w:pPr>
      <w:ind w:left="4252"/>
    </w:pPr>
  </w:style>
  <w:style w:type="character" w:styleId="Znakapoznpodarou">
    <w:name w:val="footnote reference"/>
    <w:basedOn w:val="Standardnpsmoodstavce"/>
    <w:semiHidden/>
    <w:rsid w:val="00D65518"/>
    <w:rPr>
      <w:rFonts w:ascii="Verdana" w:hAnsi="Verdana"/>
      <w:vertAlign w:val="superscript"/>
    </w:rPr>
  </w:style>
  <w:style w:type="character" w:styleId="Odkaznakoment">
    <w:name w:val="annotation reference"/>
    <w:basedOn w:val="Standardnpsmoodstavce"/>
    <w:semiHidden/>
    <w:rsid w:val="00D65518"/>
    <w:rPr>
      <w:rFonts w:ascii="Verdana" w:hAnsi="Verdana"/>
      <w:sz w:val="16"/>
      <w:szCs w:val="16"/>
    </w:rPr>
  </w:style>
  <w:style w:type="character" w:styleId="Odkaznavysvtlivky">
    <w:name w:val="endnote reference"/>
    <w:basedOn w:val="Standardnpsmoodstavce"/>
    <w:semiHidden/>
    <w:rsid w:val="00D65518"/>
    <w:rPr>
      <w:rFonts w:ascii="Verdana" w:hAnsi="Verdana"/>
      <w:vertAlign w:val="superscript"/>
    </w:rPr>
  </w:style>
  <w:style w:type="paragraph" w:styleId="Zptenadresanaoblku">
    <w:name w:val="envelope return"/>
    <w:basedOn w:val="Normln"/>
    <w:rsid w:val="00D65518"/>
    <w:rPr>
      <w:rFonts w:cs="Arial"/>
      <w:szCs w:val="20"/>
    </w:rPr>
  </w:style>
  <w:style w:type="character" w:styleId="Zvraznn">
    <w:name w:val="Emphasis"/>
    <w:basedOn w:val="Standardnpsmoodstavce"/>
    <w:qFormat/>
    <w:rsid w:val="00D65518"/>
    <w:rPr>
      <w:rFonts w:ascii="Verdana" w:hAnsi="Verdana"/>
      <w:b/>
      <w:iCs/>
      <w:u w:val="none"/>
    </w:rPr>
  </w:style>
  <w:style w:type="character" w:customStyle="1" w:styleId="ZpatChar">
    <w:name w:val="Zápatí Char"/>
    <w:basedOn w:val="Standardnpsmoodstavce"/>
    <w:link w:val="Zpat"/>
    <w:uiPriority w:val="99"/>
    <w:rsid w:val="007D4559"/>
    <w:rPr>
      <w:rFonts w:ascii="Verdana" w:hAnsi="Verdana"/>
      <w:sz w:val="18"/>
      <w:szCs w:val="24"/>
    </w:rPr>
  </w:style>
  <w:style w:type="paragraph" w:styleId="Textbubliny">
    <w:name w:val="Balloon Text"/>
    <w:basedOn w:val="Normln"/>
    <w:link w:val="TextbublinyChar"/>
    <w:uiPriority w:val="99"/>
    <w:semiHidden/>
    <w:unhideWhenUsed/>
    <w:rsid w:val="00BD5F26"/>
    <w:rPr>
      <w:rFonts w:ascii="Tahoma" w:hAnsi="Tahoma" w:cs="Tahoma"/>
      <w:sz w:val="16"/>
      <w:szCs w:val="16"/>
    </w:rPr>
  </w:style>
  <w:style w:type="character" w:customStyle="1" w:styleId="TextbublinyChar">
    <w:name w:val="Text bubliny Char"/>
    <w:basedOn w:val="Standardnpsmoodstavce"/>
    <w:link w:val="Textbubliny"/>
    <w:uiPriority w:val="99"/>
    <w:semiHidden/>
    <w:rsid w:val="00BD5F26"/>
    <w:rPr>
      <w:rFonts w:ascii="Tahoma" w:hAnsi="Tahoma" w:cs="Tahoma"/>
      <w:sz w:val="16"/>
      <w:szCs w:val="16"/>
    </w:rPr>
  </w:style>
  <w:style w:type="paragraph" w:customStyle="1" w:styleId="NormalParagraphStyle">
    <w:name w:val="NormalParagraphStyle"/>
    <w:basedOn w:val="Normln"/>
    <w:uiPriority w:val="99"/>
    <w:rsid w:val="00BD5F26"/>
    <w:pPr>
      <w:autoSpaceDE w:val="0"/>
      <w:autoSpaceDN w:val="0"/>
      <w:spacing w:line="288" w:lineRule="auto"/>
      <w:textAlignment w:val="center"/>
    </w:pPr>
    <w:rPr>
      <w:rFonts w:ascii="Times New Roman" w:hAnsi="Times New Roman"/>
      <w:color w:val="000000"/>
      <w:sz w:val="24"/>
    </w:rPr>
  </w:style>
  <w:style w:type="table" w:styleId="Jednoduchtabulka2">
    <w:name w:val="Table Simple 2"/>
    <w:basedOn w:val="Normlntabulka"/>
    <w:rsid w:val="00BD5F26"/>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Nadpis">
    <w:name w:val="Nadpis"/>
    <w:basedOn w:val="Normln"/>
    <w:rsid w:val="00A35721"/>
    <w:pPr>
      <w:jc w:val="center"/>
    </w:pPr>
    <w:rPr>
      <w:rFonts w:ascii="Trebuchet MS" w:hAnsi="Trebuchet MS" w:cs="Arial"/>
      <w:b/>
      <w:bCs/>
      <w:sz w:val="28"/>
    </w:rPr>
  </w:style>
  <w:style w:type="paragraph" w:customStyle="1" w:styleId="Adresa">
    <w:name w:val="Adresa"/>
    <w:basedOn w:val="Normln"/>
    <w:rsid w:val="00C3638D"/>
    <w:rPr>
      <w:noProof/>
      <w:sz w:val="16"/>
      <w:szCs w:val="14"/>
    </w:rPr>
  </w:style>
  <w:style w:type="paragraph" w:customStyle="1" w:styleId="Adresat">
    <w:name w:val="Adresat"/>
    <w:basedOn w:val="Normln"/>
    <w:rsid w:val="0074246D"/>
    <w:rPr>
      <w:rFonts w:ascii="Trebuchet MS" w:hAnsi="Trebuchet MS" w:cs="Arial"/>
      <w:b/>
      <w:bCs/>
      <w:noProof/>
      <w:sz w:val="22"/>
    </w:rPr>
  </w:style>
  <w:style w:type="paragraph" w:customStyle="1" w:styleId="text0">
    <w:name w:val="text"/>
    <w:basedOn w:val="Normln"/>
    <w:rsid w:val="0074246D"/>
    <w:pPr>
      <w:ind w:left="-181" w:right="-113"/>
    </w:pPr>
    <w:rPr>
      <w:rFonts w:ascii="Trebuchet MS" w:hAnsi="Trebuchet MS"/>
      <w:szCs w:val="20"/>
    </w:rPr>
  </w:style>
  <w:style w:type="paragraph" w:customStyle="1" w:styleId="Nazev">
    <w:name w:val="Nazev"/>
    <w:basedOn w:val="Normln"/>
    <w:rsid w:val="0074246D"/>
    <w:pPr>
      <w:jc w:val="center"/>
    </w:pPr>
    <w:rPr>
      <w:rFonts w:ascii="Trebuchet MS" w:hAnsi="Trebuchet MS" w:cs="Arial"/>
      <w:b/>
      <w:bCs/>
      <w:sz w:val="28"/>
    </w:rPr>
  </w:style>
  <w:style w:type="paragraph" w:customStyle="1" w:styleId="Siln0">
    <w:name w:val="Silný"/>
    <w:basedOn w:val="Text"/>
    <w:autoRedefine/>
    <w:rsid w:val="0074246D"/>
    <w:pPr>
      <w:ind w:left="0"/>
    </w:pPr>
    <w:rPr>
      <w:b/>
    </w:rPr>
  </w:style>
  <w:style w:type="paragraph" w:customStyle="1" w:styleId="IDEAS">
    <w:name w:val="IDEAS"/>
    <w:basedOn w:val="Normln"/>
    <w:autoRedefine/>
    <w:rsid w:val="0074246D"/>
    <w:rPr>
      <w:caps/>
    </w:rPr>
  </w:style>
  <w:style w:type="paragraph" w:customStyle="1" w:styleId="Poznmka">
    <w:name w:val="Poznámka"/>
    <w:basedOn w:val="Normln"/>
    <w:rsid w:val="0074246D"/>
    <w:rPr>
      <w:i/>
    </w:rPr>
  </w:style>
  <w:style w:type="paragraph" w:customStyle="1" w:styleId="Nadpis0">
    <w:name w:val="Nadpis 0"/>
    <w:basedOn w:val="Normln"/>
    <w:autoRedefine/>
    <w:rsid w:val="0074246D"/>
    <w:pPr>
      <w:spacing w:before="240"/>
    </w:pPr>
    <w:rPr>
      <w:rFonts w:ascii="Trebuchet MS" w:hAnsi="Trebuchet MS"/>
      <w:b/>
      <w:sz w:val="24"/>
      <w:u w:val="single"/>
    </w:rPr>
  </w:style>
  <w:style w:type="paragraph" w:styleId="Titulek">
    <w:name w:val="caption"/>
    <w:basedOn w:val="Normln"/>
    <w:next w:val="Normln"/>
    <w:qFormat/>
    <w:rsid w:val="0074246D"/>
    <w:pPr>
      <w:spacing w:before="120" w:after="120"/>
    </w:pPr>
    <w:rPr>
      <w:b/>
      <w:bCs/>
      <w:szCs w:val="20"/>
    </w:rPr>
  </w:style>
  <w:style w:type="paragraph" w:styleId="Textkomente">
    <w:name w:val="annotation text"/>
    <w:basedOn w:val="Normln"/>
    <w:link w:val="TextkomenteChar"/>
    <w:semiHidden/>
    <w:rsid w:val="0074246D"/>
    <w:rPr>
      <w:rFonts w:ascii="Trebuchet MS" w:hAnsi="Trebuchet MS"/>
      <w:szCs w:val="20"/>
    </w:rPr>
  </w:style>
  <w:style w:type="character" w:customStyle="1" w:styleId="TextkomenteChar">
    <w:name w:val="Text komentáře Char"/>
    <w:basedOn w:val="Standardnpsmoodstavce"/>
    <w:link w:val="Textkomente"/>
    <w:semiHidden/>
    <w:rsid w:val="0074246D"/>
    <w:rPr>
      <w:rFonts w:ascii="Trebuchet MS" w:hAnsi="Trebuchet MS"/>
    </w:rPr>
  </w:style>
  <w:style w:type="table" w:styleId="Mkatabulky">
    <w:name w:val="Table Grid"/>
    <w:basedOn w:val="Normlntabulka"/>
    <w:rsid w:val="0074246D"/>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znamobrzk">
    <w:name w:val="table of figures"/>
    <w:basedOn w:val="Normln"/>
    <w:next w:val="Normln"/>
    <w:semiHidden/>
    <w:rsid w:val="0074246D"/>
    <w:pPr>
      <w:ind w:left="400" w:hanging="400"/>
    </w:pPr>
    <w:rPr>
      <w:rFonts w:ascii="Trebuchet MS" w:hAnsi="Trebuchet MS"/>
    </w:rPr>
  </w:style>
  <w:style w:type="paragraph" w:styleId="z-Zatekformule">
    <w:name w:val="HTML Top of Form"/>
    <w:basedOn w:val="Normln"/>
    <w:next w:val="Normln"/>
    <w:link w:val="z-ZatekformuleChar"/>
    <w:hidden/>
    <w:rsid w:val="0074246D"/>
    <w:pPr>
      <w:pBdr>
        <w:bottom w:val="single" w:sz="6" w:space="1" w:color="auto"/>
      </w:pBdr>
      <w:jc w:val="center"/>
    </w:pPr>
    <w:rPr>
      <w:rFonts w:cs="Arial"/>
      <w:vanish/>
      <w:sz w:val="16"/>
      <w:szCs w:val="16"/>
    </w:rPr>
  </w:style>
  <w:style w:type="character" w:customStyle="1" w:styleId="z-ZatekformuleChar">
    <w:name w:val="z-Začátek formuláře Char"/>
    <w:basedOn w:val="Standardnpsmoodstavce"/>
    <w:link w:val="z-Zatekformule"/>
    <w:rsid w:val="0074246D"/>
    <w:rPr>
      <w:rFonts w:ascii="Arial" w:hAnsi="Arial" w:cs="Arial"/>
      <w:vanish/>
      <w:sz w:val="16"/>
      <w:szCs w:val="16"/>
    </w:rPr>
  </w:style>
  <w:style w:type="character" w:customStyle="1" w:styleId="help3">
    <w:name w:val="help3"/>
    <w:basedOn w:val="Standardnpsmoodstavce"/>
    <w:rsid w:val="0074246D"/>
  </w:style>
  <w:style w:type="character" w:customStyle="1" w:styleId="h1">
    <w:name w:val="h1"/>
    <w:basedOn w:val="Standardnpsmoodstavce"/>
    <w:rsid w:val="0074246D"/>
    <w:rPr>
      <w:vanish/>
      <w:webHidden w:val="0"/>
      <w:specVanish w:val="0"/>
    </w:rPr>
  </w:style>
  <w:style w:type="character" w:customStyle="1" w:styleId="help4">
    <w:name w:val="help4"/>
    <w:basedOn w:val="Standardnpsmoodstavce"/>
    <w:rsid w:val="0074246D"/>
  </w:style>
  <w:style w:type="character" w:customStyle="1" w:styleId="help5">
    <w:name w:val="help5"/>
    <w:basedOn w:val="Standardnpsmoodstavce"/>
    <w:rsid w:val="0074246D"/>
    <w:rPr>
      <w:b/>
      <w:bCs/>
    </w:rPr>
  </w:style>
  <w:style w:type="paragraph" w:styleId="z-Konecformule">
    <w:name w:val="HTML Bottom of Form"/>
    <w:basedOn w:val="Normln"/>
    <w:next w:val="Normln"/>
    <w:link w:val="z-KonecformuleChar"/>
    <w:hidden/>
    <w:rsid w:val="0074246D"/>
    <w:pPr>
      <w:pBdr>
        <w:top w:val="single" w:sz="6" w:space="1" w:color="auto"/>
      </w:pBdr>
      <w:jc w:val="center"/>
    </w:pPr>
    <w:rPr>
      <w:rFonts w:cs="Arial"/>
      <w:vanish/>
      <w:sz w:val="16"/>
      <w:szCs w:val="16"/>
    </w:rPr>
  </w:style>
  <w:style w:type="character" w:customStyle="1" w:styleId="z-KonecformuleChar">
    <w:name w:val="z-Konec formuláře Char"/>
    <w:basedOn w:val="Standardnpsmoodstavce"/>
    <w:link w:val="z-Konecformule"/>
    <w:rsid w:val="0074246D"/>
    <w:rPr>
      <w:rFonts w:ascii="Arial" w:hAnsi="Arial" w:cs="Arial"/>
      <w:vanish/>
      <w:sz w:val="16"/>
      <w:szCs w:val="16"/>
    </w:rPr>
  </w:style>
  <w:style w:type="paragraph" w:customStyle="1" w:styleId="Napdi">
    <w:name w:val="Napdi"/>
    <w:basedOn w:val="Nadpis1"/>
    <w:rsid w:val="0074246D"/>
    <w:pPr>
      <w:numPr>
        <w:numId w:val="0"/>
      </w:numPr>
      <w:tabs>
        <w:tab w:val="num" w:pos="432"/>
      </w:tabs>
      <w:ind w:left="432" w:hanging="432"/>
    </w:pPr>
    <w:rPr>
      <w:rFonts w:ascii="Trebuchet MS" w:hAnsi="Trebuchet MS"/>
      <w:sz w:val="24"/>
    </w:rPr>
  </w:style>
  <w:style w:type="paragraph" w:customStyle="1" w:styleId="Normlnweb2">
    <w:name w:val="Normální (web)2"/>
    <w:basedOn w:val="Normln"/>
    <w:link w:val="Normlnweb2Char"/>
    <w:rsid w:val="0074246D"/>
    <w:pPr>
      <w:spacing w:before="100" w:beforeAutospacing="1" w:after="225"/>
    </w:pPr>
    <w:rPr>
      <w:rFonts w:cs="Arial"/>
      <w:color w:val="000000"/>
      <w:sz w:val="18"/>
      <w:szCs w:val="18"/>
    </w:rPr>
  </w:style>
  <w:style w:type="character" w:customStyle="1" w:styleId="Normlnweb2Char">
    <w:name w:val="Normální (web)2 Char"/>
    <w:basedOn w:val="Standardnpsmoodstavce"/>
    <w:link w:val="Normlnweb2"/>
    <w:rsid w:val="0074246D"/>
    <w:rPr>
      <w:rFonts w:ascii="Arial" w:hAnsi="Arial" w:cs="Arial"/>
      <w:color w:val="000000"/>
      <w:sz w:val="18"/>
      <w:szCs w:val="18"/>
    </w:rPr>
  </w:style>
  <w:style w:type="character" w:customStyle="1" w:styleId="Nadpis3Char">
    <w:name w:val="Nadpis 3 Char"/>
    <w:basedOn w:val="Standardnpsmoodstavce"/>
    <w:link w:val="Nadpis3"/>
    <w:rsid w:val="00B304D9"/>
    <w:rPr>
      <w:rFonts w:ascii="Verdana" w:hAnsi="Verdana" w:cs="Arial"/>
      <w:b/>
      <w:bCs/>
      <w:szCs w:val="26"/>
    </w:rPr>
  </w:style>
  <w:style w:type="paragraph" w:styleId="Odstavecseseznamem">
    <w:name w:val="List Paragraph"/>
    <w:basedOn w:val="Normln"/>
    <w:uiPriority w:val="34"/>
    <w:qFormat/>
    <w:rsid w:val="0074246D"/>
    <w:pPr>
      <w:ind w:left="708"/>
    </w:pPr>
  </w:style>
  <w:style w:type="character" w:customStyle="1" w:styleId="shortnadpis1">
    <w:name w:val="shortnadpis1"/>
    <w:basedOn w:val="Standardnpsmoodstavce"/>
    <w:rsid w:val="0074246D"/>
    <w:rPr>
      <w:rFonts w:ascii="Verdana" w:hAnsi="Verdana" w:hint="default"/>
      <w:b/>
      <w:bCs/>
      <w:color w:val="000000"/>
      <w:sz w:val="24"/>
      <w:szCs w:val="24"/>
    </w:rPr>
  </w:style>
  <w:style w:type="character" w:customStyle="1" w:styleId="shortparams1">
    <w:name w:val="shortparams1"/>
    <w:basedOn w:val="Standardnpsmoodstavce"/>
    <w:rsid w:val="0074246D"/>
    <w:rPr>
      <w:rFonts w:ascii="Verdana" w:hAnsi="Verdana" w:hint="default"/>
      <w:i/>
      <w:iCs/>
      <w:color w:val="808080"/>
      <w:sz w:val="18"/>
      <w:szCs w:val="18"/>
    </w:rPr>
  </w:style>
  <w:style w:type="character" w:customStyle="1" w:styleId="fullabstract1">
    <w:name w:val="fullabstract1"/>
    <w:basedOn w:val="Standardnpsmoodstavce"/>
    <w:rsid w:val="0074246D"/>
    <w:rPr>
      <w:rFonts w:ascii="Arial" w:hAnsi="Arial" w:cs="Arial" w:hint="default"/>
      <w:color w:val="000000"/>
      <w:sz w:val="18"/>
      <w:szCs w:val="18"/>
    </w:rPr>
  </w:style>
  <w:style w:type="character" w:customStyle="1" w:styleId="fulltext1">
    <w:name w:val="fulltext1"/>
    <w:basedOn w:val="Standardnpsmoodstavce"/>
    <w:rsid w:val="0074246D"/>
    <w:rPr>
      <w:rFonts w:ascii="Arial" w:hAnsi="Arial" w:cs="Arial" w:hint="default"/>
      <w:strike w:val="0"/>
      <w:dstrike w:val="0"/>
      <w:color w:val="000000"/>
      <w:sz w:val="18"/>
      <w:szCs w:val="18"/>
      <w:u w:val="none"/>
      <w:effect w:val="none"/>
    </w:rPr>
  </w:style>
  <w:style w:type="character" w:customStyle="1" w:styleId="highlighted21">
    <w:name w:val="highlighted21"/>
    <w:basedOn w:val="Standardnpsmoodstavce"/>
    <w:rsid w:val="0074246D"/>
    <w:rPr>
      <w:rFonts w:ascii="Verdana" w:hAnsi="Verdana" w:hint="default"/>
      <w:color w:val="000000"/>
      <w:sz w:val="18"/>
      <w:szCs w:val="18"/>
      <w:shd w:val="clear" w:color="auto" w:fill="FFF887"/>
    </w:rPr>
  </w:style>
  <w:style w:type="character" w:customStyle="1" w:styleId="p1name">
    <w:name w:val="p1name"/>
    <w:basedOn w:val="Standardnpsmoodstavce"/>
    <w:rsid w:val="0074246D"/>
  </w:style>
  <w:style w:type="character" w:customStyle="1" w:styleId="pnname">
    <w:name w:val="pnname"/>
    <w:basedOn w:val="Standardnpsmoodstavce"/>
    <w:rsid w:val="0074246D"/>
  </w:style>
  <w:style w:type="paragraph" w:customStyle="1" w:styleId="perex">
    <w:name w:val="perex"/>
    <w:basedOn w:val="Normln"/>
    <w:rsid w:val="0074246D"/>
    <w:pPr>
      <w:widowControl/>
      <w:adjustRightInd/>
      <w:spacing w:after="120" w:line="240" w:lineRule="auto"/>
      <w:jc w:val="left"/>
      <w:textAlignment w:val="auto"/>
    </w:pPr>
    <w:rPr>
      <w:rFonts w:ascii="Times New Roman" w:hAnsi="Times New Roman"/>
      <w:sz w:val="24"/>
    </w:rPr>
  </w:style>
  <w:style w:type="character" w:customStyle="1" w:styleId="mw-headline">
    <w:name w:val="mw-headline"/>
    <w:basedOn w:val="Standardnpsmoodstavce"/>
    <w:rsid w:val="006C679B"/>
  </w:style>
  <w:style w:type="paragraph" w:styleId="Rejstk9">
    <w:name w:val="index 9"/>
    <w:basedOn w:val="Normln"/>
    <w:next w:val="Normln"/>
    <w:autoRedefine/>
    <w:uiPriority w:val="99"/>
    <w:semiHidden/>
    <w:unhideWhenUsed/>
    <w:rsid w:val="00615CD9"/>
    <w:pPr>
      <w:ind w:left="1800" w:hanging="200"/>
    </w:pPr>
  </w:style>
  <w:style w:type="paragraph" w:customStyle="1" w:styleId="BasicParagraph">
    <w:name w:val="[Basic Paragraph]"/>
    <w:basedOn w:val="Normln"/>
    <w:uiPriority w:val="99"/>
    <w:rsid w:val="00D8587C"/>
    <w:pPr>
      <w:widowControl/>
      <w:autoSpaceDE w:val="0"/>
      <w:autoSpaceDN w:val="0"/>
      <w:spacing w:before="120" w:line="288" w:lineRule="auto"/>
      <w:jc w:val="left"/>
      <w:textAlignment w:val="center"/>
    </w:pPr>
    <w:rPr>
      <w:rFonts w:ascii="Times New Roman" w:hAnsi="Times New Roman"/>
      <w:color w:val="000000"/>
      <w:sz w:val="24"/>
      <w:lang w:val="en-US"/>
    </w:rPr>
  </w:style>
  <w:style w:type="character" w:customStyle="1" w:styleId="apple-converted-space">
    <w:name w:val="apple-converted-space"/>
    <w:basedOn w:val="Standardnpsmoodstavce"/>
    <w:rsid w:val="002665EF"/>
  </w:style>
  <w:style w:type="character" w:customStyle="1" w:styleId="apple-style-span">
    <w:name w:val="apple-style-span"/>
    <w:basedOn w:val="Standardnpsmoodstavce"/>
    <w:rsid w:val="003112B7"/>
  </w:style>
  <w:style w:type="character" w:customStyle="1" w:styleId="Nadpis2Char">
    <w:name w:val="Nadpis 2 Char"/>
    <w:basedOn w:val="Standardnpsmoodstavce"/>
    <w:link w:val="Nadpis2"/>
    <w:rsid w:val="006A3993"/>
    <w:rPr>
      <w:rFonts w:ascii="Verdana" w:hAnsi="Verdana" w:cs="Arial"/>
      <w:b/>
      <w:bCs/>
      <w:iCs/>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67406">
      <w:bodyDiv w:val="1"/>
      <w:marLeft w:val="0"/>
      <w:marRight w:val="0"/>
      <w:marTop w:val="100"/>
      <w:marBottom w:val="0"/>
      <w:divBdr>
        <w:top w:val="none" w:sz="0" w:space="0" w:color="auto"/>
        <w:left w:val="none" w:sz="0" w:space="0" w:color="auto"/>
        <w:bottom w:val="none" w:sz="0" w:space="0" w:color="auto"/>
        <w:right w:val="none" w:sz="0" w:space="0" w:color="auto"/>
      </w:divBdr>
      <w:divsChild>
        <w:div w:id="1578595129">
          <w:marLeft w:val="0"/>
          <w:marRight w:val="0"/>
          <w:marTop w:val="120"/>
          <w:marBottom w:val="0"/>
          <w:divBdr>
            <w:top w:val="none" w:sz="0" w:space="0" w:color="auto"/>
            <w:left w:val="none" w:sz="0" w:space="0" w:color="auto"/>
            <w:bottom w:val="none" w:sz="0" w:space="0" w:color="auto"/>
            <w:right w:val="none" w:sz="0" w:space="0" w:color="auto"/>
          </w:divBdr>
          <w:divsChild>
            <w:div w:id="133910756">
              <w:marLeft w:val="567"/>
              <w:marRight w:val="567"/>
              <w:marTop w:val="200"/>
              <w:marBottom w:val="0"/>
              <w:divBdr>
                <w:top w:val="none" w:sz="0" w:space="0" w:color="auto"/>
                <w:left w:val="none" w:sz="0" w:space="0" w:color="auto"/>
                <w:bottom w:val="none" w:sz="0" w:space="0" w:color="auto"/>
                <w:right w:val="none" w:sz="0" w:space="0" w:color="auto"/>
              </w:divBdr>
            </w:div>
          </w:divsChild>
        </w:div>
      </w:divsChild>
    </w:div>
    <w:div w:id="265818554">
      <w:bodyDiv w:val="1"/>
      <w:marLeft w:val="0"/>
      <w:marRight w:val="0"/>
      <w:marTop w:val="0"/>
      <w:marBottom w:val="0"/>
      <w:divBdr>
        <w:top w:val="none" w:sz="0" w:space="0" w:color="auto"/>
        <w:left w:val="none" w:sz="0" w:space="0" w:color="auto"/>
        <w:bottom w:val="none" w:sz="0" w:space="0" w:color="auto"/>
        <w:right w:val="none" w:sz="0" w:space="0" w:color="auto"/>
      </w:divBdr>
    </w:div>
    <w:div w:id="333997811">
      <w:bodyDiv w:val="1"/>
      <w:marLeft w:val="0"/>
      <w:marRight w:val="0"/>
      <w:marTop w:val="0"/>
      <w:marBottom w:val="0"/>
      <w:divBdr>
        <w:top w:val="none" w:sz="0" w:space="0" w:color="auto"/>
        <w:left w:val="none" w:sz="0" w:space="0" w:color="auto"/>
        <w:bottom w:val="none" w:sz="0" w:space="0" w:color="auto"/>
        <w:right w:val="none" w:sz="0" w:space="0" w:color="auto"/>
      </w:divBdr>
    </w:div>
    <w:div w:id="398750350">
      <w:bodyDiv w:val="1"/>
      <w:marLeft w:val="0"/>
      <w:marRight w:val="0"/>
      <w:marTop w:val="0"/>
      <w:marBottom w:val="0"/>
      <w:divBdr>
        <w:top w:val="none" w:sz="0" w:space="0" w:color="auto"/>
        <w:left w:val="none" w:sz="0" w:space="0" w:color="auto"/>
        <w:bottom w:val="none" w:sz="0" w:space="0" w:color="auto"/>
        <w:right w:val="none" w:sz="0" w:space="0" w:color="auto"/>
      </w:divBdr>
    </w:div>
    <w:div w:id="448162337">
      <w:bodyDiv w:val="1"/>
      <w:marLeft w:val="0"/>
      <w:marRight w:val="0"/>
      <w:marTop w:val="0"/>
      <w:marBottom w:val="0"/>
      <w:divBdr>
        <w:top w:val="none" w:sz="0" w:space="0" w:color="auto"/>
        <w:left w:val="none" w:sz="0" w:space="0" w:color="auto"/>
        <w:bottom w:val="none" w:sz="0" w:space="0" w:color="auto"/>
        <w:right w:val="none" w:sz="0" w:space="0" w:color="auto"/>
      </w:divBdr>
      <w:divsChild>
        <w:div w:id="1672371313">
          <w:marLeft w:val="0"/>
          <w:marRight w:val="0"/>
          <w:marTop w:val="120"/>
          <w:marBottom w:val="0"/>
          <w:divBdr>
            <w:top w:val="none" w:sz="0" w:space="0" w:color="auto"/>
            <w:left w:val="none" w:sz="0" w:space="0" w:color="auto"/>
            <w:bottom w:val="none" w:sz="0" w:space="0" w:color="auto"/>
            <w:right w:val="none" w:sz="0" w:space="0" w:color="auto"/>
          </w:divBdr>
        </w:div>
        <w:div w:id="55444311">
          <w:marLeft w:val="0"/>
          <w:marRight w:val="0"/>
          <w:marTop w:val="120"/>
          <w:marBottom w:val="0"/>
          <w:divBdr>
            <w:top w:val="none" w:sz="0" w:space="0" w:color="auto"/>
            <w:left w:val="none" w:sz="0" w:space="0" w:color="auto"/>
            <w:bottom w:val="none" w:sz="0" w:space="0" w:color="auto"/>
            <w:right w:val="none" w:sz="0" w:space="0" w:color="auto"/>
          </w:divBdr>
        </w:div>
      </w:divsChild>
    </w:div>
    <w:div w:id="483475837">
      <w:bodyDiv w:val="1"/>
      <w:marLeft w:val="0"/>
      <w:marRight w:val="0"/>
      <w:marTop w:val="0"/>
      <w:marBottom w:val="0"/>
      <w:divBdr>
        <w:top w:val="none" w:sz="0" w:space="0" w:color="auto"/>
        <w:left w:val="none" w:sz="0" w:space="0" w:color="auto"/>
        <w:bottom w:val="none" w:sz="0" w:space="0" w:color="auto"/>
        <w:right w:val="none" w:sz="0" w:space="0" w:color="auto"/>
      </w:divBdr>
      <w:divsChild>
        <w:div w:id="2082438594">
          <w:marLeft w:val="0"/>
          <w:marRight w:val="0"/>
          <w:marTop w:val="0"/>
          <w:marBottom w:val="0"/>
          <w:divBdr>
            <w:top w:val="none" w:sz="0" w:space="0" w:color="auto"/>
            <w:left w:val="none" w:sz="0" w:space="0" w:color="auto"/>
            <w:bottom w:val="none" w:sz="0" w:space="0" w:color="auto"/>
            <w:right w:val="none" w:sz="0" w:space="0" w:color="auto"/>
          </w:divBdr>
          <w:divsChild>
            <w:div w:id="1478451120">
              <w:marLeft w:val="0"/>
              <w:marRight w:val="0"/>
              <w:marTop w:val="0"/>
              <w:marBottom w:val="0"/>
              <w:divBdr>
                <w:top w:val="none" w:sz="0" w:space="0" w:color="auto"/>
                <w:left w:val="none" w:sz="0" w:space="0" w:color="auto"/>
                <w:bottom w:val="none" w:sz="0" w:space="0" w:color="auto"/>
                <w:right w:val="none" w:sz="0" w:space="0" w:color="auto"/>
              </w:divBdr>
              <w:divsChild>
                <w:div w:id="1010180564">
                  <w:marLeft w:val="0"/>
                  <w:marRight w:val="0"/>
                  <w:marTop w:val="0"/>
                  <w:marBottom w:val="0"/>
                  <w:divBdr>
                    <w:top w:val="none" w:sz="0" w:space="0" w:color="auto"/>
                    <w:left w:val="none" w:sz="0" w:space="0" w:color="auto"/>
                    <w:bottom w:val="none" w:sz="0" w:space="0" w:color="auto"/>
                    <w:right w:val="none" w:sz="0" w:space="0" w:color="auto"/>
                  </w:divBdr>
                  <w:divsChild>
                    <w:div w:id="599724311">
                      <w:marLeft w:val="0"/>
                      <w:marRight w:val="0"/>
                      <w:marTop w:val="0"/>
                      <w:marBottom w:val="0"/>
                      <w:divBdr>
                        <w:top w:val="none" w:sz="0" w:space="0" w:color="auto"/>
                        <w:left w:val="none" w:sz="0" w:space="0" w:color="auto"/>
                        <w:bottom w:val="none" w:sz="0" w:space="0" w:color="auto"/>
                        <w:right w:val="none" w:sz="0" w:space="0" w:color="auto"/>
                      </w:divBdr>
                      <w:divsChild>
                        <w:div w:id="208183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681485">
      <w:bodyDiv w:val="1"/>
      <w:marLeft w:val="0"/>
      <w:marRight w:val="0"/>
      <w:marTop w:val="0"/>
      <w:marBottom w:val="0"/>
      <w:divBdr>
        <w:top w:val="none" w:sz="0" w:space="0" w:color="auto"/>
        <w:left w:val="none" w:sz="0" w:space="0" w:color="auto"/>
        <w:bottom w:val="none" w:sz="0" w:space="0" w:color="auto"/>
        <w:right w:val="none" w:sz="0" w:space="0" w:color="auto"/>
      </w:divBdr>
    </w:div>
    <w:div w:id="677001162">
      <w:bodyDiv w:val="1"/>
      <w:marLeft w:val="0"/>
      <w:marRight w:val="0"/>
      <w:marTop w:val="0"/>
      <w:marBottom w:val="0"/>
      <w:divBdr>
        <w:top w:val="none" w:sz="0" w:space="0" w:color="auto"/>
        <w:left w:val="none" w:sz="0" w:space="0" w:color="auto"/>
        <w:bottom w:val="none" w:sz="0" w:space="0" w:color="auto"/>
        <w:right w:val="none" w:sz="0" w:space="0" w:color="auto"/>
      </w:divBdr>
    </w:div>
    <w:div w:id="692271994">
      <w:bodyDiv w:val="1"/>
      <w:marLeft w:val="0"/>
      <w:marRight w:val="0"/>
      <w:marTop w:val="0"/>
      <w:marBottom w:val="0"/>
      <w:divBdr>
        <w:top w:val="none" w:sz="0" w:space="0" w:color="auto"/>
        <w:left w:val="none" w:sz="0" w:space="0" w:color="auto"/>
        <w:bottom w:val="none" w:sz="0" w:space="0" w:color="auto"/>
        <w:right w:val="none" w:sz="0" w:space="0" w:color="auto"/>
      </w:divBdr>
      <w:divsChild>
        <w:div w:id="477500505">
          <w:marLeft w:val="0"/>
          <w:marRight w:val="0"/>
          <w:marTop w:val="0"/>
          <w:marBottom w:val="0"/>
          <w:divBdr>
            <w:top w:val="none" w:sz="0" w:space="0" w:color="auto"/>
            <w:left w:val="none" w:sz="0" w:space="0" w:color="auto"/>
            <w:bottom w:val="none" w:sz="0" w:space="0" w:color="auto"/>
            <w:right w:val="none" w:sz="0" w:space="0" w:color="auto"/>
          </w:divBdr>
          <w:divsChild>
            <w:div w:id="21178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46635">
      <w:bodyDiv w:val="1"/>
      <w:marLeft w:val="0"/>
      <w:marRight w:val="0"/>
      <w:marTop w:val="0"/>
      <w:marBottom w:val="0"/>
      <w:divBdr>
        <w:top w:val="none" w:sz="0" w:space="0" w:color="auto"/>
        <w:left w:val="none" w:sz="0" w:space="0" w:color="auto"/>
        <w:bottom w:val="none" w:sz="0" w:space="0" w:color="auto"/>
        <w:right w:val="none" w:sz="0" w:space="0" w:color="auto"/>
      </w:divBdr>
    </w:div>
    <w:div w:id="822814290">
      <w:bodyDiv w:val="1"/>
      <w:marLeft w:val="0"/>
      <w:marRight w:val="0"/>
      <w:marTop w:val="0"/>
      <w:marBottom w:val="0"/>
      <w:divBdr>
        <w:top w:val="none" w:sz="0" w:space="0" w:color="auto"/>
        <w:left w:val="none" w:sz="0" w:space="0" w:color="auto"/>
        <w:bottom w:val="none" w:sz="0" w:space="0" w:color="auto"/>
        <w:right w:val="none" w:sz="0" w:space="0" w:color="auto"/>
      </w:divBdr>
    </w:div>
    <w:div w:id="827136731">
      <w:bodyDiv w:val="1"/>
      <w:marLeft w:val="0"/>
      <w:marRight w:val="0"/>
      <w:marTop w:val="0"/>
      <w:marBottom w:val="0"/>
      <w:divBdr>
        <w:top w:val="none" w:sz="0" w:space="0" w:color="auto"/>
        <w:left w:val="none" w:sz="0" w:space="0" w:color="auto"/>
        <w:bottom w:val="none" w:sz="0" w:space="0" w:color="auto"/>
        <w:right w:val="none" w:sz="0" w:space="0" w:color="auto"/>
      </w:divBdr>
    </w:div>
    <w:div w:id="1189221855">
      <w:bodyDiv w:val="1"/>
      <w:marLeft w:val="0"/>
      <w:marRight w:val="0"/>
      <w:marTop w:val="0"/>
      <w:marBottom w:val="0"/>
      <w:divBdr>
        <w:top w:val="none" w:sz="0" w:space="0" w:color="auto"/>
        <w:left w:val="none" w:sz="0" w:space="0" w:color="auto"/>
        <w:bottom w:val="none" w:sz="0" w:space="0" w:color="auto"/>
        <w:right w:val="none" w:sz="0" w:space="0" w:color="auto"/>
      </w:divBdr>
    </w:div>
    <w:div w:id="1318726353">
      <w:bodyDiv w:val="1"/>
      <w:marLeft w:val="0"/>
      <w:marRight w:val="0"/>
      <w:marTop w:val="0"/>
      <w:marBottom w:val="0"/>
      <w:divBdr>
        <w:top w:val="none" w:sz="0" w:space="0" w:color="auto"/>
        <w:left w:val="none" w:sz="0" w:space="0" w:color="auto"/>
        <w:bottom w:val="none" w:sz="0" w:space="0" w:color="auto"/>
        <w:right w:val="none" w:sz="0" w:space="0" w:color="auto"/>
      </w:divBdr>
    </w:div>
    <w:div w:id="1388917292">
      <w:bodyDiv w:val="1"/>
      <w:marLeft w:val="0"/>
      <w:marRight w:val="0"/>
      <w:marTop w:val="0"/>
      <w:marBottom w:val="0"/>
      <w:divBdr>
        <w:top w:val="none" w:sz="0" w:space="0" w:color="auto"/>
        <w:left w:val="none" w:sz="0" w:space="0" w:color="auto"/>
        <w:bottom w:val="none" w:sz="0" w:space="0" w:color="auto"/>
        <w:right w:val="none" w:sz="0" w:space="0" w:color="auto"/>
      </w:divBdr>
      <w:divsChild>
        <w:div w:id="2147313834">
          <w:marLeft w:val="0"/>
          <w:marRight w:val="0"/>
          <w:marTop w:val="0"/>
          <w:marBottom w:val="0"/>
          <w:divBdr>
            <w:top w:val="none" w:sz="0" w:space="0" w:color="auto"/>
            <w:left w:val="none" w:sz="0" w:space="0" w:color="auto"/>
            <w:bottom w:val="none" w:sz="0" w:space="0" w:color="auto"/>
            <w:right w:val="none" w:sz="0" w:space="0" w:color="auto"/>
          </w:divBdr>
          <w:divsChild>
            <w:div w:id="292180765">
              <w:marLeft w:val="0"/>
              <w:marRight w:val="0"/>
              <w:marTop w:val="0"/>
              <w:marBottom w:val="0"/>
              <w:divBdr>
                <w:top w:val="none" w:sz="0" w:space="0" w:color="auto"/>
                <w:left w:val="none" w:sz="0" w:space="0" w:color="auto"/>
                <w:bottom w:val="none" w:sz="0" w:space="0" w:color="auto"/>
                <w:right w:val="none" w:sz="0" w:space="0" w:color="auto"/>
              </w:divBdr>
              <w:divsChild>
                <w:div w:id="1268998351">
                  <w:marLeft w:val="0"/>
                  <w:marRight w:val="0"/>
                  <w:marTop w:val="0"/>
                  <w:marBottom w:val="0"/>
                  <w:divBdr>
                    <w:top w:val="none" w:sz="0" w:space="0" w:color="auto"/>
                    <w:left w:val="none" w:sz="0" w:space="0" w:color="auto"/>
                    <w:bottom w:val="none" w:sz="0" w:space="0" w:color="auto"/>
                    <w:right w:val="none" w:sz="0" w:space="0" w:color="auto"/>
                  </w:divBdr>
                  <w:divsChild>
                    <w:div w:id="1863745015">
                      <w:marLeft w:val="0"/>
                      <w:marRight w:val="0"/>
                      <w:marTop w:val="0"/>
                      <w:marBottom w:val="0"/>
                      <w:divBdr>
                        <w:top w:val="none" w:sz="0" w:space="0" w:color="auto"/>
                        <w:left w:val="none" w:sz="0" w:space="0" w:color="auto"/>
                        <w:bottom w:val="none" w:sz="0" w:space="0" w:color="auto"/>
                        <w:right w:val="none" w:sz="0" w:space="0" w:color="auto"/>
                      </w:divBdr>
                    </w:div>
                    <w:div w:id="657927663">
                      <w:marLeft w:val="0"/>
                      <w:marRight w:val="0"/>
                      <w:marTop w:val="0"/>
                      <w:marBottom w:val="0"/>
                      <w:divBdr>
                        <w:top w:val="none" w:sz="0" w:space="0" w:color="auto"/>
                        <w:left w:val="none" w:sz="0" w:space="0" w:color="auto"/>
                        <w:bottom w:val="none" w:sz="0" w:space="0" w:color="auto"/>
                        <w:right w:val="none" w:sz="0" w:space="0" w:color="auto"/>
                      </w:divBdr>
                    </w:div>
                    <w:div w:id="926156387">
                      <w:marLeft w:val="0"/>
                      <w:marRight w:val="0"/>
                      <w:marTop w:val="0"/>
                      <w:marBottom w:val="0"/>
                      <w:divBdr>
                        <w:top w:val="none" w:sz="0" w:space="0" w:color="auto"/>
                        <w:left w:val="none" w:sz="0" w:space="0" w:color="auto"/>
                        <w:bottom w:val="none" w:sz="0" w:space="0" w:color="auto"/>
                        <w:right w:val="none" w:sz="0" w:space="0" w:color="auto"/>
                      </w:divBdr>
                    </w:div>
                    <w:div w:id="544022608">
                      <w:marLeft w:val="0"/>
                      <w:marRight w:val="0"/>
                      <w:marTop w:val="0"/>
                      <w:marBottom w:val="0"/>
                      <w:divBdr>
                        <w:top w:val="none" w:sz="0" w:space="0" w:color="auto"/>
                        <w:left w:val="none" w:sz="0" w:space="0" w:color="auto"/>
                        <w:bottom w:val="none" w:sz="0" w:space="0" w:color="auto"/>
                        <w:right w:val="none" w:sz="0" w:space="0" w:color="auto"/>
                      </w:divBdr>
                    </w:div>
                    <w:div w:id="7475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755819">
      <w:bodyDiv w:val="1"/>
      <w:marLeft w:val="0"/>
      <w:marRight w:val="0"/>
      <w:marTop w:val="0"/>
      <w:marBottom w:val="0"/>
      <w:divBdr>
        <w:top w:val="none" w:sz="0" w:space="0" w:color="auto"/>
        <w:left w:val="none" w:sz="0" w:space="0" w:color="auto"/>
        <w:bottom w:val="none" w:sz="0" w:space="0" w:color="auto"/>
        <w:right w:val="none" w:sz="0" w:space="0" w:color="auto"/>
      </w:divBdr>
    </w:div>
    <w:div w:id="1470585223">
      <w:bodyDiv w:val="1"/>
      <w:marLeft w:val="0"/>
      <w:marRight w:val="0"/>
      <w:marTop w:val="0"/>
      <w:marBottom w:val="0"/>
      <w:divBdr>
        <w:top w:val="none" w:sz="0" w:space="0" w:color="auto"/>
        <w:left w:val="none" w:sz="0" w:space="0" w:color="auto"/>
        <w:bottom w:val="none" w:sz="0" w:space="0" w:color="auto"/>
        <w:right w:val="none" w:sz="0" w:space="0" w:color="auto"/>
      </w:divBdr>
    </w:div>
    <w:div w:id="1511601981">
      <w:bodyDiv w:val="1"/>
      <w:marLeft w:val="0"/>
      <w:marRight w:val="0"/>
      <w:marTop w:val="0"/>
      <w:marBottom w:val="0"/>
      <w:divBdr>
        <w:top w:val="none" w:sz="0" w:space="0" w:color="auto"/>
        <w:left w:val="none" w:sz="0" w:space="0" w:color="auto"/>
        <w:bottom w:val="none" w:sz="0" w:space="0" w:color="auto"/>
        <w:right w:val="none" w:sz="0" w:space="0" w:color="auto"/>
      </w:divBdr>
    </w:div>
    <w:div w:id="1577130133">
      <w:bodyDiv w:val="1"/>
      <w:marLeft w:val="0"/>
      <w:marRight w:val="0"/>
      <w:marTop w:val="0"/>
      <w:marBottom w:val="0"/>
      <w:divBdr>
        <w:top w:val="none" w:sz="0" w:space="0" w:color="auto"/>
        <w:left w:val="none" w:sz="0" w:space="0" w:color="auto"/>
        <w:bottom w:val="none" w:sz="0" w:space="0" w:color="auto"/>
        <w:right w:val="none" w:sz="0" w:space="0" w:color="auto"/>
      </w:divBdr>
      <w:divsChild>
        <w:div w:id="786435285">
          <w:marLeft w:val="0"/>
          <w:marRight w:val="0"/>
          <w:marTop w:val="0"/>
          <w:marBottom w:val="0"/>
          <w:divBdr>
            <w:top w:val="none" w:sz="0" w:space="0" w:color="auto"/>
            <w:left w:val="none" w:sz="0" w:space="0" w:color="auto"/>
            <w:bottom w:val="none" w:sz="0" w:space="0" w:color="auto"/>
            <w:right w:val="none" w:sz="0" w:space="0" w:color="auto"/>
          </w:divBdr>
          <w:divsChild>
            <w:div w:id="1827940509">
              <w:marLeft w:val="0"/>
              <w:marRight w:val="0"/>
              <w:marTop w:val="0"/>
              <w:marBottom w:val="0"/>
              <w:divBdr>
                <w:top w:val="none" w:sz="0" w:space="0" w:color="auto"/>
                <w:left w:val="none" w:sz="0" w:space="0" w:color="auto"/>
                <w:bottom w:val="none" w:sz="0" w:space="0" w:color="auto"/>
                <w:right w:val="none" w:sz="0" w:space="0" w:color="auto"/>
              </w:divBdr>
              <w:divsChild>
                <w:div w:id="22973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564303">
      <w:bodyDiv w:val="1"/>
      <w:marLeft w:val="0"/>
      <w:marRight w:val="0"/>
      <w:marTop w:val="0"/>
      <w:marBottom w:val="0"/>
      <w:divBdr>
        <w:top w:val="none" w:sz="0" w:space="0" w:color="auto"/>
        <w:left w:val="none" w:sz="0" w:space="0" w:color="auto"/>
        <w:bottom w:val="none" w:sz="0" w:space="0" w:color="auto"/>
        <w:right w:val="none" w:sz="0" w:space="0" w:color="auto"/>
      </w:divBdr>
    </w:div>
    <w:div w:id="1810898851">
      <w:bodyDiv w:val="1"/>
      <w:marLeft w:val="0"/>
      <w:marRight w:val="0"/>
      <w:marTop w:val="0"/>
      <w:marBottom w:val="0"/>
      <w:divBdr>
        <w:top w:val="none" w:sz="0" w:space="0" w:color="auto"/>
        <w:left w:val="none" w:sz="0" w:space="0" w:color="auto"/>
        <w:bottom w:val="none" w:sz="0" w:space="0" w:color="auto"/>
        <w:right w:val="none" w:sz="0" w:space="0" w:color="auto"/>
      </w:divBdr>
      <w:divsChild>
        <w:div w:id="540826960">
          <w:marLeft w:val="0"/>
          <w:marRight w:val="0"/>
          <w:marTop w:val="0"/>
          <w:marBottom w:val="0"/>
          <w:divBdr>
            <w:top w:val="none" w:sz="0" w:space="0" w:color="auto"/>
            <w:left w:val="none" w:sz="0" w:space="0" w:color="auto"/>
            <w:bottom w:val="none" w:sz="0" w:space="0" w:color="auto"/>
            <w:right w:val="none" w:sz="0" w:space="0" w:color="auto"/>
          </w:divBdr>
          <w:divsChild>
            <w:div w:id="107506489">
              <w:marLeft w:val="0"/>
              <w:marRight w:val="0"/>
              <w:marTop w:val="0"/>
              <w:marBottom w:val="0"/>
              <w:divBdr>
                <w:top w:val="none" w:sz="0" w:space="0" w:color="auto"/>
                <w:left w:val="none" w:sz="0" w:space="0" w:color="auto"/>
                <w:bottom w:val="none" w:sz="0" w:space="0" w:color="auto"/>
                <w:right w:val="none" w:sz="0" w:space="0" w:color="auto"/>
              </w:divBdr>
              <w:divsChild>
                <w:div w:id="3983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69835">
      <w:bodyDiv w:val="1"/>
      <w:marLeft w:val="0"/>
      <w:marRight w:val="0"/>
      <w:marTop w:val="0"/>
      <w:marBottom w:val="0"/>
      <w:divBdr>
        <w:top w:val="none" w:sz="0" w:space="0" w:color="auto"/>
        <w:left w:val="none" w:sz="0" w:space="0" w:color="auto"/>
        <w:bottom w:val="none" w:sz="0" w:space="0" w:color="auto"/>
        <w:right w:val="none" w:sz="0" w:space="0" w:color="auto"/>
      </w:divBdr>
    </w:div>
    <w:div w:id="1860771816">
      <w:bodyDiv w:val="1"/>
      <w:marLeft w:val="0"/>
      <w:marRight w:val="0"/>
      <w:marTop w:val="0"/>
      <w:marBottom w:val="0"/>
      <w:divBdr>
        <w:top w:val="none" w:sz="0" w:space="0" w:color="auto"/>
        <w:left w:val="none" w:sz="0" w:space="0" w:color="auto"/>
        <w:bottom w:val="none" w:sz="0" w:space="0" w:color="auto"/>
        <w:right w:val="none" w:sz="0" w:space="0" w:color="auto"/>
      </w:divBdr>
      <w:divsChild>
        <w:div w:id="1570077218">
          <w:marLeft w:val="0"/>
          <w:marRight w:val="0"/>
          <w:marTop w:val="120"/>
          <w:marBottom w:val="0"/>
          <w:divBdr>
            <w:top w:val="none" w:sz="0" w:space="0" w:color="auto"/>
            <w:left w:val="none" w:sz="0" w:space="0" w:color="auto"/>
            <w:bottom w:val="none" w:sz="0" w:space="0" w:color="auto"/>
            <w:right w:val="none" w:sz="0" w:space="0" w:color="auto"/>
          </w:divBdr>
        </w:div>
        <w:div w:id="681853696">
          <w:marLeft w:val="0"/>
          <w:marRight w:val="0"/>
          <w:marTop w:val="120"/>
          <w:marBottom w:val="0"/>
          <w:divBdr>
            <w:top w:val="none" w:sz="0" w:space="0" w:color="auto"/>
            <w:left w:val="none" w:sz="0" w:space="0" w:color="auto"/>
            <w:bottom w:val="none" w:sz="0" w:space="0" w:color="auto"/>
            <w:right w:val="none" w:sz="0" w:space="0" w:color="auto"/>
          </w:divBdr>
        </w:div>
        <w:div w:id="73665972">
          <w:marLeft w:val="0"/>
          <w:marRight w:val="0"/>
          <w:marTop w:val="120"/>
          <w:marBottom w:val="0"/>
          <w:divBdr>
            <w:top w:val="none" w:sz="0" w:space="0" w:color="auto"/>
            <w:left w:val="none" w:sz="0" w:space="0" w:color="auto"/>
            <w:bottom w:val="none" w:sz="0" w:space="0" w:color="auto"/>
            <w:right w:val="none" w:sz="0" w:space="0" w:color="auto"/>
          </w:divBdr>
        </w:div>
        <w:div w:id="1354108386">
          <w:marLeft w:val="0"/>
          <w:marRight w:val="0"/>
          <w:marTop w:val="120"/>
          <w:marBottom w:val="0"/>
          <w:divBdr>
            <w:top w:val="none" w:sz="0" w:space="0" w:color="auto"/>
            <w:left w:val="none" w:sz="0" w:space="0" w:color="auto"/>
            <w:bottom w:val="none" w:sz="0" w:space="0" w:color="auto"/>
            <w:right w:val="none" w:sz="0" w:space="0" w:color="auto"/>
          </w:divBdr>
        </w:div>
        <w:div w:id="544024675">
          <w:marLeft w:val="0"/>
          <w:marRight w:val="0"/>
          <w:marTop w:val="120"/>
          <w:marBottom w:val="0"/>
          <w:divBdr>
            <w:top w:val="none" w:sz="0" w:space="0" w:color="auto"/>
            <w:left w:val="none" w:sz="0" w:space="0" w:color="auto"/>
            <w:bottom w:val="none" w:sz="0" w:space="0" w:color="auto"/>
            <w:right w:val="none" w:sz="0" w:space="0" w:color="auto"/>
          </w:divBdr>
        </w:div>
      </w:divsChild>
    </w:div>
    <w:div w:id="1864394583">
      <w:bodyDiv w:val="1"/>
      <w:marLeft w:val="0"/>
      <w:marRight w:val="0"/>
      <w:marTop w:val="0"/>
      <w:marBottom w:val="0"/>
      <w:divBdr>
        <w:top w:val="none" w:sz="0" w:space="0" w:color="auto"/>
        <w:left w:val="none" w:sz="0" w:space="0" w:color="auto"/>
        <w:bottom w:val="none" w:sz="0" w:space="0" w:color="auto"/>
        <w:right w:val="none" w:sz="0" w:space="0" w:color="auto"/>
      </w:divBdr>
      <w:divsChild>
        <w:div w:id="1897741282">
          <w:marLeft w:val="0"/>
          <w:marRight w:val="0"/>
          <w:marTop w:val="0"/>
          <w:marBottom w:val="0"/>
          <w:divBdr>
            <w:top w:val="none" w:sz="0" w:space="0" w:color="auto"/>
            <w:left w:val="none" w:sz="0" w:space="0" w:color="auto"/>
            <w:bottom w:val="none" w:sz="0" w:space="0" w:color="auto"/>
            <w:right w:val="none" w:sz="0" w:space="0" w:color="auto"/>
          </w:divBdr>
          <w:divsChild>
            <w:div w:id="899167896">
              <w:marLeft w:val="0"/>
              <w:marRight w:val="0"/>
              <w:marTop w:val="0"/>
              <w:marBottom w:val="0"/>
              <w:divBdr>
                <w:top w:val="none" w:sz="0" w:space="0" w:color="auto"/>
                <w:left w:val="none" w:sz="0" w:space="0" w:color="auto"/>
                <w:bottom w:val="none" w:sz="0" w:space="0" w:color="auto"/>
                <w:right w:val="none" w:sz="0" w:space="0" w:color="auto"/>
              </w:divBdr>
              <w:divsChild>
                <w:div w:id="144187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4.png"/><Relationship Id="rId21" Type="http://schemas.openxmlformats.org/officeDocument/2006/relationships/hyperlink" Target="https://forum.helios.eu/orange/doc/cs/Soubor:Mzdy_VDS_Formular_03.PNG" TargetMode="External"/><Relationship Id="rId34" Type="http://schemas.openxmlformats.org/officeDocument/2006/relationships/image" Target="media/image21.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3.png"/><Relationship Id="rId33" Type="http://schemas.openxmlformats.org/officeDocument/2006/relationships/hyperlink" Target="http://www.cssz.cz/cz/e-podani/ke-stazeni/"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s://forum.helios.eu/orange/doc/cs/Soubor:Mzdy_VDS_Formular_04.PNG" TargetMode="External"/><Relationship Id="rId28" Type="http://schemas.openxmlformats.org/officeDocument/2006/relationships/image" Target="media/image16.png"/><Relationship Id="rId36" Type="http://schemas.openxmlformats.org/officeDocument/2006/relationships/footer" Target="footer1.xml"/><Relationship Id="rId10" Type="http://schemas.openxmlformats.org/officeDocument/2006/relationships/hyperlink" Target="mailto:jan.sejpka@helios.eu" TargetMode="External"/><Relationship Id="rId19" Type="http://schemas.openxmlformats.org/officeDocument/2006/relationships/hyperlink" Target="https://forum.helios.eu/orange/doc/cs/Soubor:Mzdy_VDS_Formular_01.PNG" TargetMode="External"/><Relationship Id="rId31" Type="http://schemas.openxmlformats.org/officeDocument/2006/relationships/image" Target="media/image19.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24.png"/><Relationship Id="rId1" Type="http://schemas.openxmlformats.org/officeDocument/2006/relationships/image" Target="media/image23.png"/></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AF283-E09D-4BB7-AD24-804A1D3B1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3040</TotalTime>
  <Pages>54</Pages>
  <Words>7977</Words>
  <Characters>47070</Characters>
  <Application>Microsoft Office Word</Application>
  <DocSecurity>0</DocSecurity>
  <Lines>392</Lines>
  <Paragraphs>109</Paragraphs>
  <ScaleCrop>false</ScaleCrop>
  <HeadingPairs>
    <vt:vector size="2" baseType="variant">
      <vt:variant>
        <vt:lpstr>Název</vt:lpstr>
      </vt:variant>
      <vt:variant>
        <vt:i4>1</vt:i4>
      </vt:variant>
    </vt:vector>
  </HeadingPairs>
  <TitlesOfParts>
    <vt:vector size="1" baseType="lpstr">
      <vt:lpstr>LCS</vt:lpstr>
    </vt:vector>
  </TitlesOfParts>
  <Company>LCS International, a.s.</Company>
  <LinksUpToDate>false</LinksUpToDate>
  <CharactersWithSpaces>54938</CharactersWithSpaces>
  <SharedDoc>false</SharedDoc>
  <HLinks>
    <vt:vector size="450" baseType="variant">
      <vt:variant>
        <vt:i4>1114166</vt:i4>
      </vt:variant>
      <vt:variant>
        <vt:i4>431</vt:i4>
      </vt:variant>
      <vt:variant>
        <vt:i4>0</vt:i4>
      </vt:variant>
      <vt:variant>
        <vt:i4>5</vt:i4>
      </vt:variant>
      <vt:variant>
        <vt:lpwstr/>
      </vt:variant>
      <vt:variant>
        <vt:lpwstr>_Toc251242135</vt:lpwstr>
      </vt:variant>
      <vt:variant>
        <vt:i4>1114166</vt:i4>
      </vt:variant>
      <vt:variant>
        <vt:i4>425</vt:i4>
      </vt:variant>
      <vt:variant>
        <vt:i4>0</vt:i4>
      </vt:variant>
      <vt:variant>
        <vt:i4>5</vt:i4>
      </vt:variant>
      <vt:variant>
        <vt:lpwstr/>
      </vt:variant>
      <vt:variant>
        <vt:lpwstr>_Toc251242134</vt:lpwstr>
      </vt:variant>
      <vt:variant>
        <vt:i4>1114166</vt:i4>
      </vt:variant>
      <vt:variant>
        <vt:i4>419</vt:i4>
      </vt:variant>
      <vt:variant>
        <vt:i4>0</vt:i4>
      </vt:variant>
      <vt:variant>
        <vt:i4>5</vt:i4>
      </vt:variant>
      <vt:variant>
        <vt:lpwstr/>
      </vt:variant>
      <vt:variant>
        <vt:lpwstr>_Toc251242133</vt:lpwstr>
      </vt:variant>
      <vt:variant>
        <vt:i4>1114166</vt:i4>
      </vt:variant>
      <vt:variant>
        <vt:i4>413</vt:i4>
      </vt:variant>
      <vt:variant>
        <vt:i4>0</vt:i4>
      </vt:variant>
      <vt:variant>
        <vt:i4>5</vt:i4>
      </vt:variant>
      <vt:variant>
        <vt:lpwstr/>
      </vt:variant>
      <vt:variant>
        <vt:lpwstr>_Toc251242132</vt:lpwstr>
      </vt:variant>
      <vt:variant>
        <vt:i4>1114166</vt:i4>
      </vt:variant>
      <vt:variant>
        <vt:i4>407</vt:i4>
      </vt:variant>
      <vt:variant>
        <vt:i4>0</vt:i4>
      </vt:variant>
      <vt:variant>
        <vt:i4>5</vt:i4>
      </vt:variant>
      <vt:variant>
        <vt:lpwstr/>
      </vt:variant>
      <vt:variant>
        <vt:lpwstr>_Toc251242131</vt:lpwstr>
      </vt:variant>
      <vt:variant>
        <vt:i4>1114166</vt:i4>
      </vt:variant>
      <vt:variant>
        <vt:i4>401</vt:i4>
      </vt:variant>
      <vt:variant>
        <vt:i4>0</vt:i4>
      </vt:variant>
      <vt:variant>
        <vt:i4>5</vt:i4>
      </vt:variant>
      <vt:variant>
        <vt:lpwstr/>
      </vt:variant>
      <vt:variant>
        <vt:lpwstr>_Toc251242130</vt:lpwstr>
      </vt:variant>
      <vt:variant>
        <vt:i4>1048630</vt:i4>
      </vt:variant>
      <vt:variant>
        <vt:i4>395</vt:i4>
      </vt:variant>
      <vt:variant>
        <vt:i4>0</vt:i4>
      </vt:variant>
      <vt:variant>
        <vt:i4>5</vt:i4>
      </vt:variant>
      <vt:variant>
        <vt:lpwstr/>
      </vt:variant>
      <vt:variant>
        <vt:lpwstr>_Toc251242129</vt:lpwstr>
      </vt:variant>
      <vt:variant>
        <vt:i4>1048630</vt:i4>
      </vt:variant>
      <vt:variant>
        <vt:i4>389</vt:i4>
      </vt:variant>
      <vt:variant>
        <vt:i4>0</vt:i4>
      </vt:variant>
      <vt:variant>
        <vt:i4>5</vt:i4>
      </vt:variant>
      <vt:variant>
        <vt:lpwstr/>
      </vt:variant>
      <vt:variant>
        <vt:lpwstr>_Toc251242128</vt:lpwstr>
      </vt:variant>
      <vt:variant>
        <vt:i4>1048630</vt:i4>
      </vt:variant>
      <vt:variant>
        <vt:i4>383</vt:i4>
      </vt:variant>
      <vt:variant>
        <vt:i4>0</vt:i4>
      </vt:variant>
      <vt:variant>
        <vt:i4>5</vt:i4>
      </vt:variant>
      <vt:variant>
        <vt:lpwstr/>
      </vt:variant>
      <vt:variant>
        <vt:lpwstr>_Toc251242127</vt:lpwstr>
      </vt:variant>
      <vt:variant>
        <vt:i4>1048630</vt:i4>
      </vt:variant>
      <vt:variant>
        <vt:i4>377</vt:i4>
      </vt:variant>
      <vt:variant>
        <vt:i4>0</vt:i4>
      </vt:variant>
      <vt:variant>
        <vt:i4>5</vt:i4>
      </vt:variant>
      <vt:variant>
        <vt:lpwstr/>
      </vt:variant>
      <vt:variant>
        <vt:lpwstr>_Toc251242126</vt:lpwstr>
      </vt:variant>
      <vt:variant>
        <vt:i4>1048630</vt:i4>
      </vt:variant>
      <vt:variant>
        <vt:i4>371</vt:i4>
      </vt:variant>
      <vt:variant>
        <vt:i4>0</vt:i4>
      </vt:variant>
      <vt:variant>
        <vt:i4>5</vt:i4>
      </vt:variant>
      <vt:variant>
        <vt:lpwstr/>
      </vt:variant>
      <vt:variant>
        <vt:lpwstr>_Toc251242125</vt:lpwstr>
      </vt:variant>
      <vt:variant>
        <vt:i4>1048630</vt:i4>
      </vt:variant>
      <vt:variant>
        <vt:i4>365</vt:i4>
      </vt:variant>
      <vt:variant>
        <vt:i4>0</vt:i4>
      </vt:variant>
      <vt:variant>
        <vt:i4>5</vt:i4>
      </vt:variant>
      <vt:variant>
        <vt:lpwstr/>
      </vt:variant>
      <vt:variant>
        <vt:lpwstr>_Toc251242124</vt:lpwstr>
      </vt:variant>
      <vt:variant>
        <vt:i4>1048630</vt:i4>
      </vt:variant>
      <vt:variant>
        <vt:i4>359</vt:i4>
      </vt:variant>
      <vt:variant>
        <vt:i4>0</vt:i4>
      </vt:variant>
      <vt:variant>
        <vt:i4>5</vt:i4>
      </vt:variant>
      <vt:variant>
        <vt:lpwstr/>
      </vt:variant>
      <vt:variant>
        <vt:lpwstr>_Toc251242123</vt:lpwstr>
      </vt:variant>
      <vt:variant>
        <vt:i4>1048630</vt:i4>
      </vt:variant>
      <vt:variant>
        <vt:i4>353</vt:i4>
      </vt:variant>
      <vt:variant>
        <vt:i4>0</vt:i4>
      </vt:variant>
      <vt:variant>
        <vt:i4>5</vt:i4>
      </vt:variant>
      <vt:variant>
        <vt:lpwstr/>
      </vt:variant>
      <vt:variant>
        <vt:lpwstr>_Toc251242122</vt:lpwstr>
      </vt:variant>
      <vt:variant>
        <vt:i4>1048630</vt:i4>
      </vt:variant>
      <vt:variant>
        <vt:i4>347</vt:i4>
      </vt:variant>
      <vt:variant>
        <vt:i4>0</vt:i4>
      </vt:variant>
      <vt:variant>
        <vt:i4>5</vt:i4>
      </vt:variant>
      <vt:variant>
        <vt:lpwstr/>
      </vt:variant>
      <vt:variant>
        <vt:lpwstr>_Toc251242121</vt:lpwstr>
      </vt:variant>
      <vt:variant>
        <vt:i4>1048630</vt:i4>
      </vt:variant>
      <vt:variant>
        <vt:i4>341</vt:i4>
      </vt:variant>
      <vt:variant>
        <vt:i4>0</vt:i4>
      </vt:variant>
      <vt:variant>
        <vt:i4>5</vt:i4>
      </vt:variant>
      <vt:variant>
        <vt:lpwstr/>
      </vt:variant>
      <vt:variant>
        <vt:lpwstr>_Toc251242120</vt:lpwstr>
      </vt:variant>
      <vt:variant>
        <vt:i4>1245238</vt:i4>
      </vt:variant>
      <vt:variant>
        <vt:i4>335</vt:i4>
      </vt:variant>
      <vt:variant>
        <vt:i4>0</vt:i4>
      </vt:variant>
      <vt:variant>
        <vt:i4>5</vt:i4>
      </vt:variant>
      <vt:variant>
        <vt:lpwstr/>
      </vt:variant>
      <vt:variant>
        <vt:lpwstr>_Toc251242119</vt:lpwstr>
      </vt:variant>
      <vt:variant>
        <vt:i4>1245238</vt:i4>
      </vt:variant>
      <vt:variant>
        <vt:i4>329</vt:i4>
      </vt:variant>
      <vt:variant>
        <vt:i4>0</vt:i4>
      </vt:variant>
      <vt:variant>
        <vt:i4>5</vt:i4>
      </vt:variant>
      <vt:variant>
        <vt:lpwstr/>
      </vt:variant>
      <vt:variant>
        <vt:lpwstr>_Toc251242118</vt:lpwstr>
      </vt:variant>
      <vt:variant>
        <vt:i4>1245238</vt:i4>
      </vt:variant>
      <vt:variant>
        <vt:i4>323</vt:i4>
      </vt:variant>
      <vt:variant>
        <vt:i4>0</vt:i4>
      </vt:variant>
      <vt:variant>
        <vt:i4>5</vt:i4>
      </vt:variant>
      <vt:variant>
        <vt:lpwstr/>
      </vt:variant>
      <vt:variant>
        <vt:lpwstr>_Toc251242117</vt:lpwstr>
      </vt:variant>
      <vt:variant>
        <vt:i4>1245238</vt:i4>
      </vt:variant>
      <vt:variant>
        <vt:i4>317</vt:i4>
      </vt:variant>
      <vt:variant>
        <vt:i4>0</vt:i4>
      </vt:variant>
      <vt:variant>
        <vt:i4>5</vt:i4>
      </vt:variant>
      <vt:variant>
        <vt:lpwstr/>
      </vt:variant>
      <vt:variant>
        <vt:lpwstr>_Toc251242116</vt:lpwstr>
      </vt:variant>
      <vt:variant>
        <vt:i4>1245238</vt:i4>
      </vt:variant>
      <vt:variant>
        <vt:i4>311</vt:i4>
      </vt:variant>
      <vt:variant>
        <vt:i4>0</vt:i4>
      </vt:variant>
      <vt:variant>
        <vt:i4>5</vt:i4>
      </vt:variant>
      <vt:variant>
        <vt:lpwstr/>
      </vt:variant>
      <vt:variant>
        <vt:lpwstr>_Toc251242115</vt:lpwstr>
      </vt:variant>
      <vt:variant>
        <vt:i4>1245238</vt:i4>
      </vt:variant>
      <vt:variant>
        <vt:i4>305</vt:i4>
      </vt:variant>
      <vt:variant>
        <vt:i4>0</vt:i4>
      </vt:variant>
      <vt:variant>
        <vt:i4>5</vt:i4>
      </vt:variant>
      <vt:variant>
        <vt:lpwstr/>
      </vt:variant>
      <vt:variant>
        <vt:lpwstr>_Toc251242114</vt:lpwstr>
      </vt:variant>
      <vt:variant>
        <vt:i4>1245238</vt:i4>
      </vt:variant>
      <vt:variant>
        <vt:i4>299</vt:i4>
      </vt:variant>
      <vt:variant>
        <vt:i4>0</vt:i4>
      </vt:variant>
      <vt:variant>
        <vt:i4>5</vt:i4>
      </vt:variant>
      <vt:variant>
        <vt:lpwstr/>
      </vt:variant>
      <vt:variant>
        <vt:lpwstr>_Toc251242113</vt:lpwstr>
      </vt:variant>
      <vt:variant>
        <vt:i4>1245238</vt:i4>
      </vt:variant>
      <vt:variant>
        <vt:i4>293</vt:i4>
      </vt:variant>
      <vt:variant>
        <vt:i4>0</vt:i4>
      </vt:variant>
      <vt:variant>
        <vt:i4>5</vt:i4>
      </vt:variant>
      <vt:variant>
        <vt:lpwstr/>
      </vt:variant>
      <vt:variant>
        <vt:lpwstr>_Toc251242112</vt:lpwstr>
      </vt:variant>
      <vt:variant>
        <vt:i4>1245238</vt:i4>
      </vt:variant>
      <vt:variant>
        <vt:i4>287</vt:i4>
      </vt:variant>
      <vt:variant>
        <vt:i4>0</vt:i4>
      </vt:variant>
      <vt:variant>
        <vt:i4>5</vt:i4>
      </vt:variant>
      <vt:variant>
        <vt:lpwstr/>
      </vt:variant>
      <vt:variant>
        <vt:lpwstr>_Toc251242111</vt:lpwstr>
      </vt:variant>
      <vt:variant>
        <vt:i4>1245238</vt:i4>
      </vt:variant>
      <vt:variant>
        <vt:i4>281</vt:i4>
      </vt:variant>
      <vt:variant>
        <vt:i4>0</vt:i4>
      </vt:variant>
      <vt:variant>
        <vt:i4>5</vt:i4>
      </vt:variant>
      <vt:variant>
        <vt:lpwstr/>
      </vt:variant>
      <vt:variant>
        <vt:lpwstr>_Toc251242110</vt:lpwstr>
      </vt:variant>
      <vt:variant>
        <vt:i4>1179702</vt:i4>
      </vt:variant>
      <vt:variant>
        <vt:i4>275</vt:i4>
      </vt:variant>
      <vt:variant>
        <vt:i4>0</vt:i4>
      </vt:variant>
      <vt:variant>
        <vt:i4>5</vt:i4>
      </vt:variant>
      <vt:variant>
        <vt:lpwstr/>
      </vt:variant>
      <vt:variant>
        <vt:lpwstr>_Toc251242109</vt:lpwstr>
      </vt:variant>
      <vt:variant>
        <vt:i4>1179702</vt:i4>
      </vt:variant>
      <vt:variant>
        <vt:i4>269</vt:i4>
      </vt:variant>
      <vt:variant>
        <vt:i4>0</vt:i4>
      </vt:variant>
      <vt:variant>
        <vt:i4>5</vt:i4>
      </vt:variant>
      <vt:variant>
        <vt:lpwstr/>
      </vt:variant>
      <vt:variant>
        <vt:lpwstr>_Toc251242108</vt:lpwstr>
      </vt:variant>
      <vt:variant>
        <vt:i4>1179702</vt:i4>
      </vt:variant>
      <vt:variant>
        <vt:i4>263</vt:i4>
      </vt:variant>
      <vt:variant>
        <vt:i4>0</vt:i4>
      </vt:variant>
      <vt:variant>
        <vt:i4>5</vt:i4>
      </vt:variant>
      <vt:variant>
        <vt:lpwstr/>
      </vt:variant>
      <vt:variant>
        <vt:lpwstr>_Toc251242107</vt:lpwstr>
      </vt:variant>
      <vt:variant>
        <vt:i4>1179702</vt:i4>
      </vt:variant>
      <vt:variant>
        <vt:i4>257</vt:i4>
      </vt:variant>
      <vt:variant>
        <vt:i4>0</vt:i4>
      </vt:variant>
      <vt:variant>
        <vt:i4>5</vt:i4>
      </vt:variant>
      <vt:variant>
        <vt:lpwstr/>
      </vt:variant>
      <vt:variant>
        <vt:lpwstr>_Toc251242106</vt:lpwstr>
      </vt:variant>
      <vt:variant>
        <vt:i4>1179702</vt:i4>
      </vt:variant>
      <vt:variant>
        <vt:i4>251</vt:i4>
      </vt:variant>
      <vt:variant>
        <vt:i4>0</vt:i4>
      </vt:variant>
      <vt:variant>
        <vt:i4>5</vt:i4>
      </vt:variant>
      <vt:variant>
        <vt:lpwstr/>
      </vt:variant>
      <vt:variant>
        <vt:lpwstr>_Toc251242105</vt:lpwstr>
      </vt:variant>
      <vt:variant>
        <vt:i4>1179702</vt:i4>
      </vt:variant>
      <vt:variant>
        <vt:i4>245</vt:i4>
      </vt:variant>
      <vt:variant>
        <vt:i4>0</vt:i4>
      </vt:variant>
      <vt:variant>
        <vt:i4>5</vt:i4>
      </vt:variant>
      <vt:variant>
        <vt:lpwstr/>
      </vt:variant>
      <vt:variant>
        <vt:lpwstr>_Toc251242104</vt:lpwstr>
      </vt:variant>
      <vt:variant>
        <vt:i4>1179702</vt:i4>
      </vt:variant>
      <vt:variant>
        <vt:i4>239</vt:i4>
      </vt:variant>
      <vt:variant>
        <vt:i4>0</vt:i4>
      </vt:variant>
      <vt:variant>
        <vt:i4>5</vt:i4>
      </vt:variant>
      <vt:variant>
        <vt:lpwstr/>
      </vt:variant>
      <vt:variant>
        <vt:lpwstr>_Toc251242103</vt:lpwstr>
      </vt:variant>
      <vt:variant>
        <vt:i4>1179702</vt:i4>
      </vt:variant>
      <vt:variant>
        <vt:i4>233</vt:i4>
      </vt:variant>
      <vt:variant>
        <vt:i4>0</vt:i4>
      </vt:variant>
      <vt:variant>
        <vt:i4>5</vt:i4>
      </vt:variant>
      <vt:variant>
        <vt:lpwstr/>
      </vt:variant>
      <vt:variant>
        <vt:lpwstr>_Toc251242102</vt:lpwstr>
      </vt:variant>
      <vt:variant>
        <vt:i4>1179702</vt:i4>
      </vt:variant>
      <vt:variant>
        <vt:i4>227</vt:i4>
      </vt:variant>
      <vt:variant>
        <vt:i4>0</vt:i4>
      </vt:variant>
      <vt:variant>
        <vt:i4>5</vt:i4>
      </vt:variant>
      <vt:variant>
        <vt:lpwstr/>
      </vt:variant>
      <vt:variant>
        <vt:lpwstr>_Toc251242101</vt:lpwstr>
      </vt:variant>
      <vt:variant>
        <vt:i4>1179702</vt:i4>
      </vt:variant>
      <vt:variant>
        <vt:i4>221</vt:i4>
      </vt:variant>
      <vt:variant>
        <vt:i4>0</vt:i4>
      </vt:variant>
      <vt:variant>
        <vt:i4>5</vt:i4>
      </vt:variant>
      <vt:variant>
        <vt:lpwstr/>
      </vt:variant>
      <vt:variant>
        <vt:lpwstr>_Toc251242100</vt:lpwstr>
      </vt:variant>
      <vt:variant>
        <vt:i4>1769527</vt:i4>
      </vt:variant>
      <vt:variant>
        <vt:i4>215</vt:i4>
      </vt:variant>
      <vt:variant>
        <vt:i4>0</vt:i4>
      </vt:variant>
      <vt:variant>
        <vt:i4>5</vt:i4>
      </vt:variant>
      <vt:variant>
        <vt:lpwstr/>
      </vt:variant>
      <vt:variant>
        <vt:lpwstr>_Toc251242099</vt:lpwstr>
      </vt:variant>
      <vt:variant>
        <vt:i4>1769527</vt:i4>
      </vt:variant>
      <vt:variant>
        <vt:i4>209</vt:i4>
      </vt:variant>
      <vt:variant>
        <vt:i4>0</vt:i4>
      </vt:variant>
      <vt:variant>
        <vt:i4>5</vt:i4>
      </vt:variant>
      <vt:variant>
        <vt:lpwstr/>
      </vt:variant>
      <vt:variant>
        <vt:lpwstr>_Toc251242098</vt:lpwstr>
      </vt:variant>
      <vt:variant>
        <vt:i4>1769527</vt:i4>
      </vt:variant>
      <vt:variant>
        <vt:i4>203</vt:i4>
      </vt:variant>
      <vt:variant>
        <vt:i4>0</vt:i4>
      </vt:variant>
      <vt:variant>
        <vt:i4>5</vt:i4>
      </vt:variant>
      <vt:variant>
        <vt:lpwstr/>
      </vt:variant>
      <vt:variant>
        <vt:lpwstr>_Toc251242097</vt:lpwstr>
      </vt:variant>
      <vt:variant>
        <vt:i4>1769527</vt:i4>
      </vt:variant>
      <vt:variant>
        <vt:i4>197</vt:i4>
      </vt:variant>
      <vt:variant>
        <vt:i4>0</vt:i4>
      </vt:variant>
      <vt:variant>
        <vt:i4>5</vt:i4>
      </vt:variant>
      <vt:variant>
        <vt:lpwstr/>
      </vt:variant>
      <vt:variant>
        <vt:lpwstr>_Toc251242096</vt:lpwstr>
      </vt:variant>
      <vt:variant>
        <vt:i4>1769527</vt:i4>
      </vt:variant>
      <vt:variant>
        <vt:i4>191</vt:i4>
      </vt:variant>
      <vt:variant>
        <vt:i4>0</vt:i4>
      </vt:variant>
      <vt:variant>
        <vt:i4>5</vt:i4>
      </vt:variant>
      <vt:variant>
        <vt:lpwstr/>
      </vt:variant>
      <vt:variant>
        <vt:lpwstr>_Toc251242095</vt:lpwstr>
      </vt:variant>
      <vt:variant>
        <vt:i4>1769527</vt:i4>
      </vt:variant>
      <vt:variant>
        <vt:i4>185</vt:i4>
      </vt:variant>
      <vt:variant>
        <vt:i4>0</vt:i4>
      </vt:variant>
      <vt:variant>
        <vt:i4>5</vt:i4>
      </vt:variant>
      <vt:variant>
        <vt:lpwstr/>
      </vt:variant>
      <vt:variant>
        <vt:lpwstr>_Toc251242094</vt:lpwstr>
      </vt:variant>
      <vt:variant>
        <vt:i4>1769527</vt:i4>
      </vt:variant>
      <vt:variant>
        <vt:i4>179</vt:i4>
      </vt:variant>
      <vt:variant>
        <vt:i4>0</vt:i4>
      </vt:variant>
      <vt:variant>
        <vt:i4>5</vt:i4>
      </vt:variant>
      <vt:variant>
        <vt:lpwstr/>
      </vt:variant>
      <vt:variant>
        <vt:lpwstr>_Toc251242093</vt:lpwstr>
      </vt:variant>
      <vt:variant>
        <vt:i4>1769527</vt:i4>
      </vt:variant>
      <vt:variant>
        <vt:i4>173</vt:i4>
      </vt:variant>
      <vt:variant>
        <vt:i4>0</vt:i4>
      </vt:variant>
      <vt:variant>
        <vt:i4>5</vt:i4>
      </vt:variant>
      <vt:variant>
        <vt:lpwstr/>
      </vt:variant>
      <vt:variant>
        <vt:lpwstr>_Toc251242092</vt:lpwstr>
      </vt:variant>
      <vt:variant>
        <vt:i4>1769527</vt:i4>
      </vt:variant>
      <vt:variant>
        <vt:i4>167</vt:i4>
      </vt:variant>
      <vt:variant>
        <vt:i4>0</vt:i4>
      </vt:variant>
      <vt:variant>
        <vt:i4>5</vt:i4>
      </vt:variant>
      <vt:variant>
        <vt:lpwstr/>
      </vt:variant>
      <vt:variant>
        <vt:lpwstr>_Toc251242091</vt:lpwstr>
      </vt:variant>
      <vt:variant>
        <vt:i4>1769527</vt:i4>
      </vt:variant>
      <vt:variant>
        <vt:i4>161</vt:i4>
      </vt:variant>
      <vt:variant>
        <vt:i4>0</vt:i4>
      </vt:variant>
      <vt:variant>
        <vt:i4>5</vt:i4>
      </vt:variant>
      <vt:variant>
        <vt:lpwstr/>
      </vt:variant>
      <vt:variant>
        <vt:lpwstr>_Toc251242090</vt:lpwstr>
      </vt:variant>
      <vt:variant>
        <vt:i4>1703991</vt:i4>
      </vt:variant>
      <vt:variant>
        <vt:i4>155</vt:i4>
      </vt:variant>
      <vt:variant>
        <vt:i4>0</vt:i4>
      </vt:variant>
      <vt:variant>
        <vt:i4>5</vt:i4>
      </vt:variant>
      <vt:variant>
        <vt:lpwstr/>
      </vt:variant>
      <vt:variant>
        <vt:lpwstr>_Toc251242089</vt:lpwstr>
      </vt:variant>
      <vt:variant>
        <vt:i4>1703991</vt:i4>
      </vt:variant>
      <vt:variant>
        <vt:i4>149</vt:i4>
      </vt:variant>
      <vt:variant>
        <vt:i4>0</vt:i4>
      </vt:variant>
      <vt:variant>
        <vt:i4>5</vt:i4>
      </vt:variant>
      <vt:variant>
        <vt:lpwstr/>
      </vt:variant>
      <vt:variant>
        <vt:lpwstr>_Toc251242088</vt:lpwstr>
      </vt:variant>
      <vt:variant>
        <vt:i4>1703991</vt:i4>
      </vt:variant>
      <vt:variant>
        <vt:i4>143</vt:i4>
      </vt:variant>
      <vt:variant>
        <vt:i4>0</vt:i4>
      </vt:variant>
      <vt:variant>
        <vt:i4>5</vt:i4>
      </vt:variant>
      <vt:variant>
        <vt:lpwstr/>
      </vt:variant>
      <vt:variant>
        <vt:lpwstr>_Toc251242087</vt:lpwstr>
      </vt:variant>
      <vt:variant>
        <vt:i4>1703991</vt:i4>
      </vt:variant>
      <vt:variant>
        <vt:i4>137</vt:i4>
      </vt:variant>
      <vt:variant>
        <vt:i4>0</vt:i4>
      </vt:variant>
      <vt:variant>
        <vt:i4>5</vt:i4>
      </vt:variant>
      <vt:variant>
        <vt:lpwstr/>
      </vt:variant>
      <vt:variant>
        <vt:lpwstr>_Toc251242086</vt:lpwstr>
      </vt:variant>
      <vt:variant>
        <vt:i4>1703991</vt:i4>
      </vt:variant>
      <vt:variant>
        <vt:i4>131</vt:i4>
      </vt:variant>
      <vt:variant>
        <vt:i4>0</vt:i4>
      </vt:variant>
      <vt:variant>
        <vt:i4>5</vt:i4>
      </vt:variant>
      <vt:variant>
        <vt:lpwstr/>
      </vt:variant>
      <vt:variant>
        <vt:lpwstr>_Toc251242085</vt:lpwstr>
      </vt:variant>
      <vt:variant>
        <vt:i4>1703991</vt:i4>
      </vt:variant>
      <vt:variant>
        <vt:i4>125</vt:i4>
      </vt:variant>
      <vt:variant>
        <vt:i4>0</vt:i4>
      </vt:variant>
      <vt:variant>
        <vt:i4>5</vt:i4>
      </vt:variant>
      <vt:variant>
        <vt:lpwstr/>
      </vt:variant>
      <vt:variant>
        <vt:lpwstr>_Toc251242084</vt:lpwstr>
      </vt:variant>
      <vt:variant>
        <vt:i4>1703991</vt:i4>
      </vt:variant>
      <vt:variant>
        <vt:i4>119</vt:i4>
      </vt:variant>
      <vt:variant>
        <vt:i4>0</vt:i4>
      </vt:variant>
      <vt:variant>
        <vt:i4>5</vt:i4>
      </vt:variant>
      <vt:variant>
        <vt:lpwstr/>
      </vt:variant>
      <vt:variant>
        <vt:lpwstr>_Toc251242083</vt:lpwstr>
      </vt:variant>
      <vt:variant>
        <vt:i4>1703991</vt:i4>
      </vt:variant>
      <vt:variant>
        <vt:i4>113</vt:i4>
      </vt:variant>
      <vt:variant>
        <vt:i4>0</vt:i4>
      </vt:variant>
      <vt:variant>
        <vt:i4>5</vt:i4>
      </vt:variant>
      <vt:variant>
        <vt:lpwstr/>
      </vt:variant>
      <vt:variant>
        <vt:lpwstr>_Toc251242082</vt:lpwstr>
      </vt:variant>
      <vt:variant>
        <vt:i4>1703991</vt:i4>
      </vt:variant>
      <vt:variant>
        <vt:i4>107</vt:i4>
      </vt:variant>
      <vt:variant>
        <vt:i4>0</vt:i4>
      </vt:variant>
      <vt:variant>
        <vt:i4>5</vt:i4>
      </vt:variant>
      <vt:variant>
        <vt:lpwstr/>
      </vt:variant>
      <vt:variant>
        <vt:lpwstr>_Toc251242081</vt:lpwstr>
      </vt:variant>
      <vt:variant>
        <vt:i4>1703991</vt:i4>
      </vt:variant>
      <vt:variant>
        <vt:i4>101</vt:i4>
      </vt:variant>
      <vt:variant>
        <vt:i4>0</vt:i4>
      </vt:variant>
      <vt:variant>
        <vt:i4>5</vt:i4>
      </vt:variant>
      <vt:variant>
        <vt:lpwstr/>
      </vt:variant>
      <vt:variant>
        <vt:lpwstr>_Toc251242080</vt:lpwstr>
      </vt:variant>
      <vt:variant>
        <vt:i4>1376311</vt:i4>
      </vt:variant>
      <vt:variant>
        <vt:i4>95</vt:i4>
      </vt:variant>
      <vt:variant>
        <vt:i4>0</vt:i4>
      </vt:variant>
      <vt:variant>
        <vt:i4>5</vt:i4>
      </vt:variant>
      <vt:variant>
        <vt:lpwstr/>
      </vt:variant>
      <vt:variant>
        <vt:lpwstr>_Toc251242079</vt:lpwstr>
      </vt:variant>
      <vt:variant>
        <vt:i4>1376311</vt:i4>
      </vt:variant>
      <vt:variant>
        <vt:i4>89</vt:i4>
      </vt:variant>
      <vt:variant>
        <vt:i4>0</vt:i4>
      </vt:variant>
      <vt:variant>
        <vt:i4>5</vt:i4>
      </vt:variant>
      <vt:variant>
        <vt:lpwstr/>
      </vt:variant>
      <vt:variant>
        <vt:lpwstr>_Toc251242078</vt:lpwstr>
      </vt:variant>
      <vt:variant>
        <vt:i4>1376311</vt:i4>
      </vt:variant>
      <vt:variant>
        <vt:i4>83</vt:i4>
      </vt:variant>
      <vt:variant>
        <vt:i4>0</vt:i4>
      </vt:variant>
      <vt:variant>
        <vt:i4>5</vt:i4>
      </vt:variant>
      <vt:variant>
        <vt:lpwstr/>
      </vt:variant>
      <vt:variant>
        <vt:lpwstr>_Toc251242077</vt:lpwstr>
      </vt:variant>
      <vt:variant>
        <vt:i4>1376311</vt:i4>
      </vt:variant>
      <vt:variant>
        <vt:i4>77</vt:i4>
      </vt:variant>
      <vt:variant>
        <vt:i4>0</vt:i4>
      </vt:variant>
      <vt:variant>
        <vt:i4>5</vt:i4>
      </vt:variant>
      <vt:variant>
        <vt:lpwstr/>
      </vt:variant>
      <vt:variant>
        <vt:lpwstr>_Toc251242076</vt:lpwstr>
      </vt:variant>
      <vt:variant>
        <vt:i4>1376311</vt:i4>
      </vt:variant>
      <vt:variant>
        <vt:i4>71</vt:i4>
      </vt:variant>
      <vt:variant>
        <vt:i4>0</vt:i4>
      </vt:variant>
      <vt:variant>
        <vt:i4>5</vt:i4>
      </vt:variant>
      <vt:variant>
        <vt:lpwstr/>
      </vt:variant>
      <vt:variant>
        <vt:lpwstr>_Toc251242075</vt:lpwstr>
      </vt:variant>
      <vt:variant>
        <vt:i4>1376311</vt:i4>
      </vt:variant>
      <vt:variant>
        <vt:i4>65</vt:i4>
      </vt:variant>
      <vt:variant>
        <vt:i4>0</vt:i4>
      </vt:variant>
      <vt:variant>
        <vt:i4>5</vt:i4>
      </vt:variant>
      <vt:variant>
        <vt:lpwstr/>
      </vt:variant>
      <vt:variant>
        <vt:lpwstr>_Toc251242074</vt:lpwstr>
      </vt:variant>
      <vt:variant>
        <vt:i4>1376311</vt:i4>
      </vt:variant>
      <vt:variant>
        <vt:i4>59</vt:i4>
      </vt:variant>
      <vt:variant>
        <vt:i4>0</vt:i4>
      </vt:variant>
      <vt:variant>
        <vt:i4>5</vt:i4>
      </vt:variant>
      <vt:variant>
        <vt:lpwstr/>
      </vt:variant>
      <vt:variant>
        <vt:lpwstr>_Toc251242073</vt:lpwstr>
      </vt:variant>
      <vt:variant>
        <vt:i4>1376311</vt:i4>
      </vt:variant>
      <vt:variant>
        <vt:i4>53</vt:i4>
      </vt:variant>
      <vt:variant>
        <vt:i4>0</vt:i4>
      </vt:variant>
      <vt:variant>
        <vt:i4>5</vt:i4>
      </vt:variant>
      <vt:variant>
        <vt:lpwstr/>
      </vt:variant>
      <vt:variant>
        <vt:lpwstr>_Toc251242072</vt:lpwstr>
      </vt:variant>
      <vt:variant>
        <vt:i4>1376311</vt:i4>
      </vt:variant>
      <vt:variant>
        <vt:i4>47</vt:i4>
      </vt:variant>
      <vt:variant>
        <vt:i4>0</vt:i4>
      </vt:variant>
      <vt:variant>
        <vt:i4>5</vt:i4>
      </vt:variant>
      <vt:variant>
        <vt:lpwstr/>
      </vt:variant>
      <vt:variant>
        <vt:lpwstr>_Toc251242071</vt:lpwstr>
      </vt:variant>
      <vt:variant>
        <vt:i4>1376311</vt:i4>
      </vt:variant>
      <vt:variant>
        <vt:i4>41</vt:i4>
      </vt:variant>
      <vt:variant>
        <vt:i4>0</vt:i4>
      </vt:variant>
      <vt:variant>
        <vt:i4>5</vt:i4>
      </vt:variant>
      <vt:variant>
        <vt:lpwstr/>
      </vt:variant>
      <vt:variant>
        <vt:lpwstr>_Toc251242070</vt:lpwstr>
      </vt:variant>
      <vt:variant>
        <vt:i4>1310775</vt:i4>
      </vt:variant>
      <vt:variant>
        <vt:i4>35</vt:i4>
      </vt:variant>
      <vt:variant>
        <vt:i4>0</vt:i4>
      </vt:variant>
      <vt:variant>
        <vt:i4>5</vt:i4>
      </vt:variant>
      <vt:variant>
        <vt:lpwstr/>
      </vt:variant>
      <vt:variant>
        <vt:lpwstr>_Toc251242069</vt:lpwstr>
      </vt:variant>
      <vt:variant>
        <vt:i4>1310775</vt:i4>
      </vt:variant>
      <vt:variant>
        <vt:i4>29</vt:i4>
      </vt:variant>
      <vt:variant>
        <vt:i4>0</vt:i4>
      </vt:variant>
      <vt:variant>
        <vt:i4>5</vt:i4>
      </vt:variant>
      <vt:variant>
        <vt:lpwstr/>
      </vt:variant>
      <vt:variant>
        <vt:lpwstr>_Toc251242068</vt:lpwstr>
      </vt:variant>
      <vt:variant>
        <vt:i4>1310775</vt:i4>
      </vt:variant>
      <vt:variant>
        <vt:i4>23</vt:i4>
      </vt:variant>
      <vt:variant>
        <vt:i4>0</vt:i4>
      </vt:variant>
      <vt:variant>
        <vt:i4>5</vt:i4>
      </vt:variant>
      <vt:variant>
        <vt:lpwstr/>
      </vt:variant>
      <vt:variant>
        <vt:lpwstr>_Toc251242067</vt:lpwstr>
      </vt:variant>
      <vt:variant>
        <vt:i4>1310775</vt:i4>
      </vt:variant>
      <vt:variant>
        <vt:i4>17</vt:i4>
      </vt:variant>
      <vt:variant>
        <vt:i4>0</vt:i4>
      </vt:variant>
      <vt:variant>
        <vt:i4>5</vt:i4>
      </vt:variant>
      <vt:variant>
        <vt:lpwstr/>
      </vt:variant>
      <vt:variant>
        <vt:lpwstr>_Toc251242066</vt:lpwstr>
      </vt:variant>
      <vt:variant>
        <vt:i4>1310775</vt:i4>
      </vt:variant>
      <vt:variant>
        <vt:i4>11</vt:i4>
      </vt:variant>
      <vt:variant>
        <vt:i4>0</vt:i4>
      </vt:variant>
      <vt:variant>
        <vt:i4>5</vt:i4>
      </vt:variant>
      <vt:variant>
        <vt:lpwstr/>
      </vt:variant>
      <vt:variant>
        <vt:lpwstr>_Toc251242065</vt:lpwstr>
      </vt:variant>
      <vt:variant>
        <vt:i4>1310775</vt:i4>
      </vt:variant>
      <vt:variant>
        <vt:i4>5</vt:i4>
      </vt:variant>
      <vt:variant>
        <vt:i4>0</vt:i4>
      </vt:variant>
      <vt:variant>
        <vt:i4>5</vt:i4>
      </vt:variant>
      <vt:variant>
        <vt:lpwstr/>
      </vt:variant>
      <vt:variant>
        <vt:lpwstr>_Toc251242064</vt:lpwstr>
      </vt:variant>
      <vt:variant>
        <vt:i4>7405649</vt:i4>
      </vt:variant>
      <vt:variant>
        <vt:i4>0</vt:i4>
      </vt:variant>
      <vt:variant>
        <vt:i4>0</vt:i4>
      </vt:variant>
      <vt:variant>
        <vt:i4>5</vt:i4>
      </vt:variant>
      <vt:variant>
        <vt:lpwstr>mailto:monika.maliskova@</vt:lpwstr>
      </vt:variant>
      <vt:variant>
        <vt:lpwstr/>
      </vt:variant>
      <vt:variant>
        <vt:i4>6750319</vt:i4>
      </vt:variant>
      <vt:variant>
        <vt:i4>3</vt:i4>
      </vt:variant>
      <vt:variant>
        <vt:i4>0</vt:i4>
      </vt:variant>
      <vt:variant>
        <vt:i4>5</vt:i4>
      </vt:variant>
      <vt:variant>
        <vt:lpwstr>http://www.assecosolutions.eu/</vt:lpwstr>
      </vt:variant>
      <vt:variant>
        <vt:lpwstr/>
      </vt:variant>
      <vt:variant>
        <vt:i4>6291520</vt:i4>
      </vt:variant>
      <vt:variant>
        <vt:i4>0</vt:i4>
      </vt:variant>
      <vt:variant>
        <vt:i4>0</vt:i4>
      </vt:variant>
      <vt:variant>
        <vt:i4>5</vt:i4>
      </vt:variant>
      <vt:variant>
        <vt:lpwstr>mailto:info@assecosol.eu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LCS</dc:title>
  <dc:creator>mma</dc:creator>
  <cp:lastModifiedBy>Sejpka Jan - Asseco Solutions, a.s.</cp:lastModifiedBy>
  <cp:revision>156</cp:revision>
  <cp:lastPrinted>2013-01-15T14:32:00Z</cp:lastPrinted>
  <dcterms:created xsi:type="dcterms:W3CDTF">2011-01-06T17:56:00Z</dcterms:created>
  <dcterms:modified xsi:type="dcterms:W3CDTF">2014-01-27T14:36:00Z</dcterms:modified>
</cp:coreProperties>
</file>